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r>
        <w:t xml:space="preserve"/>
      </w:r>
    </w:p>
    <w:p>
      <w:pPr>
        <w:spacing w:after="120" w:before="0"/>
        <w:jc w:val="center"/>
      </w:pPr>
      <w:r>
        <w:rPr>
          <w:rFonts w:ascii="Arial" w:cs="Arial" w:eastAsia="Arial" w:hAnsi="Arial"/>
          <w:b/>
          <w:bCs/>
          <w:color w:val="64748B"/>
          <w:spacing w:val="200"/>
          <w:sz w:val="24"/>
          <w:szCs w:val="24"/>
        </w:rPr>
        <w:t xml:space="preserve">RESEARCH REPORT</w:t>
      </w:r>
    </w:p>
    <w:p>
      <w:pPr>
        <w:spacing w:after="60" w:before="0"/>
        <w:jc w:val="center"/>
      </w:pPr>
      <w:r>
        <w:rPr>
          <w:rFonts w:ascii="Arial" w:cs="Arial" w:eastAsia="Arial" w:hAnsi="Arial"/>
          <w:b/>
          <w:bCs/>
          <w:color w:val="0F2027"/>
          <w:sz w:val="44"/>
          <w:szCs w:val="44"/>
        </w:rPr>
        <w:t xml:space="preserve">Towards a Next-Generation Agricultural Expert System:</w:t>
      </w:r>
    </w:p>
    <w:p>
      <w:pPr>
        <w:spacing w:after="480" w:before="0"/>
        <w:jc w:val="center"/>
      </w:pPr>
      <w:r>
        <w:rPr>
          <w:rFonts w:ascii="Arial" w:cs="Arial" w:eastAsia="Arial" w:hAnsi="Arial"/>
          <w:b w:val="false"/>
          <w:bCs w:val="false"/>
          <w:color w:val="534AB7"/>
          <w:sz w:val="36"/>
          <w:szCs w:val="36"/>
        </w:rPr>
        <w:t xml:space="preserve">A Multimodal Conversational Approach</w:t>
      </w:r>
    </w:p>
    <w:p>
      <w:pPr>
        <w:pBdr>
          <w:bottom w:val="single" w:color="534AB7" w:sz="4"/>
        </w:pBdr>
        <w:spacing w:after="480" w:before="0"/>
      </w:pPr>
      <w:r>
        <w:rPr>
          <w:rFonts w:ascii="Arial" w:cs="Arial" w:eastAsia="Arial" w:hAnsi="Arial"/>
          <w:sz w:val="22"/>
          <w:szCs w:val="22"/>
        </w:rPr>
        <w:t xml:space="preserve"/>
      </w:r>
    </w:p>
    <w:p>
      <w:pPr>
        <w:jc w:val="center"/>
      </w:pPr>
      <w:r>
        <w:rPr>
          <w:rFonts w:ascii="Arial" w:cs="Arial" w:eastAsia="Arial" w:hAnsi="Arial"/>
          <w:color w:val="64748B"/>
          <w:sz w:val="22"/>
          <w:szCs w:val="22"/>
        </w:rPr>
        <w:t xml:space="preserve">Submitted by:</w:t>
      </w:r>
    </w:p>
    <w:p>
      <w:pPr>
        <w:spacing w:after="60" w:before="0"/>
        <w:jc w:val="center"/>
      </w:pPr>
      <w:r>
        <w:rPr>
          <w:rFonts w:ascii="Arial" w:cs="Arial" w:eastAsia="Arial" w:hAnsi="Arial"/>
          <w:b/>
          <w:bCs/>
          <w:color w:val="0F2027"/>
          <w:sz w:val="26"/>
          <w:szCs w:val="26"/>
        </w:rPr>
        <w:t xml:space="preserve">[Student Name]</w:t>
      </w:r>
    </w:p>
    <w:p>
      <w:pPr>
        <w:jc w:val="center"/>
      </w:pPr>
      <w:r>
        <w:rPr>
          <w:rFonts w:ascii="Arial" w:cs="Arial" w:eastAsia="Arial" w:hAnsi="Arial"/>
          <w:color w:val="64748B"/>
          <w:sz w:val="22"/>
          <w:szCs w:val="22"/>
        </w:rPr>
        <w:t xml:space="preserve">Roll No: [XXXXXXX]</w:t>
      </w:r>
    </w:p>
    <w:p>
      <w:pPr>
        <w:jc w:val="center"/>
      </w:pPr>
      <w:r>
        <w:rPr>
          <w:rFonts w:ascii="Arial" w:cs="Arial" w:eastAsia="Arial" w:hAnsi="Arial"/>
          <w:color w:val="64748B"/>
          <w:sz w:val="22"/>
          <w:szCs w:val="22"/>
        </w:rPr>
        <w:t xml:space="preserve">Department of Computer Science &amp; Engineering</w:t>
      </w:r>
    </w:p>
    <w:p>
      <w:pPr>
        <w:spacing w:after="240" w:before="0"/>
        <w:jc w:val="center"/>
      </w:pPr>
      <w:r>
        <w:rPr>
          <w:rFonts w:ascii="Arial" w:cs="Arial" w:eastAsia="Arial" w:hAnsi="Arial"/>
          <w:color w:val="64748B"/>
          <w:sz w:val="22"/>
          <w:szCs w:val="22"/>
        </w:rPr>
        <w:t xml:space="preserve">[Institution Name], [City]</w:t>
      </w:r>
    </w:p>
    <w:p>
      <w:pPr>
        <w:jc w:val="center"/>
      </w:pPr>
      <w:r>
        <w:rPr>
          <w:rFonts w:ascii="Arial" w:cs="Arial" w:eastAsia="Arial" w:hAnsi="Arial"/>
          <w:color w:val="64748B"/>
          <w:sz w:val="22"/>
          <w:szCs w:val="22"/>
        </w:rPr>
        <w:t xml:space="preserve">Supervisor: [Supervisor Name]</w:t>
      </w:r>
    </w:p>
    <w:p>
      <w:pPr>
        <w:jc w:val="center"/>
      </w:pPr>
      <w:r>
        <w:rPr>
          <w:rFonts w:ascii="Arial" w:cs="Arial" w:eastAsia="Arial" w:hAnsi="Arial"/>
          <w:color w:val="64748B"/>
          <w:sz w:val="22"/>
          <w:szCs w:val="22"/>
        </w:rPr>
        <w:t xml:space="preserve">Academic Year: 2024-25</w:t>
      </w:r>
    </w:p>
    <w:p>
      <w:r>
        <w:br w:type="page"/>
      </w:r>
    </w:p>
    <w:p>
      <w:pPr>
        <w:spacing w:after="240" w:before="0"/>
      </w:pPr>
      <w:r>
        <w:rPr>
          <w:rFonts w:ascii="Arial" w:cs="Arial" w:eastAsia="Arial" w:hAnsi="Arial"/>
          <w:b/>
          <w:bCs/>
          <w:color w:val="0F2027"/>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534AB7" w:sz="6" w:space="4"/>
        </w:pBdr>
        <w:spacing w:after="180" w:before="360"/>
      </w:pPr>
      <w:r>
        <w:rPr>
          <w:rFonts w:ascii="Arial" w:cs="Arial" w:eastAsia="Arial" w:hAnsi="Arial"/>
          <w:b/>
          <w:bCs/>
          <w:color w:val="0F2027"/>
          <w:sz w:val="32"/>
          <w:szCs w:val="32"/>
        </w:rPr>
        <w:t xml:space="preserve">1. Abstract</w:t>
      </w:r>
    </w:p>
    <w:p>
      <w:pPr>
        <w:spacing w:after="160" w:before="0"/>
        <w:jc w:val="both"/>
      </w:pPr>
      <w:r>
        <w:rPr>
          <w:rFonts w:ascii="Arial" w:cs="Arial" w:eastAsia="Arial" w:hAnsi="Arial"/>
          <w:color w:val="1E293B"/>
          <w:sz w:val="22"/>
          <w:szCs w:val="22"/>
        </w:rPr>
        <w:t xml:space="preserve">Indian agriculture, which supports the livelihoods of over 600 million people, faces a severe advisory deficit. With only one agricultural extension worker for every 1,000+ farmers, crop disease, nutrient deficiency, poor crop selection, and market price asymmetry collectively drive yield losses exceeding </w:t>
      </w:r>
      <w:r>
        <w:rPr>
          <w:rFonts w:ascii="Arial" w:cs="Arial" w:eastAsia="Arial" w:hAnsi="Arial"/>
          <w:b/>
          <w:bCs/>
          <w:color w:val="1E293B"/>
          <w:sz w:val="22"/>
          <w:szCs w:val="22"/>
        </w:rPr>
        <w:t xml:space="preserve">₹1.5 lakh crore annually</w:t>
      </w:r>
      <w:r>
        <w:rPr>
          <w:rFonts w:ascii="Arial" w:cs="Arial" w:eastAsia="Arial" w:hAnsi="Arial"/>
          <w:color w:val="1E293B"/>
          <w:sz w:val="22"/>
          <w:szCs w:val="22"/>
        </w:rPr>
        <w:t xml:space="preserve">. Existing agricultural AI systems — while individually promising — remain fundamentally fragmented: the best deployed chatbot lacks image-grounded disease diagnosis, the best vision model has no conversational interface, and none deliver explainable, multilingual advisory in a single session.</w:t>
      </w:r>
    </w:p>
    <w:p>
      <w:pPr>
        <w:spacing w:after="160" w:before="0"/>
        <w:jc w:val="both"/>
      </w:pPr>
      <w:r>
        <w:rPr>
          <w:rFonts w:ascii="Arial" w:cs="Arial" w:eastAsia="Arial" w:hAnsi="Arial"/>
          <w:color w:val="1E293B"/>
          <w:sz w:val="22"/>
          <w:szCs w:val="22"/>
        </w:rPr>
        <w:t xml:space="preserve">This research proposes, designs, and evaluates a </w:t>
      </w:r>
      <w:r>
        <w:rPr>
          <w:rFonts w:ascii="Arial" w:cs="Arial" w:eastAsia="Arial" w:hAnsi="Arial"/>
          <w:b/>
          <w:bCs/>
          <w:color w:val="1E293B"/>
          <w:sz w:val="22"/>
          <w:szCs w:val="22"/>
        </w:rPr>
        <w:t xml:space="preserve">next-generation multi-agent, multi-model agricultural expert system</w:t>
      </w:r>
      <w:r>
        <w:rPr>
          <w:rFonts w:ascii="Arial" w:cs="Arial" w:eastAsia="Arial" w:hAnsi="Arial"/>
          <w:color w:val="1E293B"/>
          <w:sz w:val="22"/>
          <w:szCs w:val="22"/>
        </w:rPr>
        <w:t xml:space="preserve"> that integrates five specialist AI agents — disease diagnosis, nutrition deficiency, crop recommendation, weather and irrigation, and live market price advisory — orchestrated by an intent-routing backbone built on LangGraph. The system accepts voice, image, text, and soil sensor inputs; grounds all responses in a 250,000+ document RAG knowledge base built from ICAR, FAO, and CGIAR sources; renders farmer-facing Grad-CAM heatmaps and SHAP explainability charts; and delivers advice in ten Indic languages via Whisper ASR and Bhashini TTS.</w:t>
      </w:r>
    </w:p>
    <w:p>
      <w:pPr>
        <w:spacing w:after="160" w:before="0"/>
        <w:jc w:val="both"/>
      </w:pPr>
      <w:r>
        <w:rPr>
          <w:rFonts w:ascii="Arial" w:cs="Arial" w:eastAsia="Arial" w:hAnsi="Arial"/>
          <w:color w:val="1E293B"/>
          <w:sz w:val="22"/>
          <w:szCs w:val="22"/>
        </w:rPr>
        <w:t xml:space="preserve">Experimental evaluation targets greater than 90% top-1 accuracy on disease classification across 200+ diseases and 50+ crops, RAG faithfulness above 0.88, word error rate below 20% for Hindi agricultural speech, and a mean agronomist agreement score above 4.0/5.0 from a panel of ten ICAR-certified experts. The system is designed for deployment as a Progressive Web Application accessible on commodity Android devices with 3G connectivity. This work makes five original contributions to the agricultural AI literature and directly closes five specific gaps unaddressed by the current state of the art.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534AB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Keywords</w:t>
            </w:r>
          </w:p>
        </w:tc>
        <w:tc>
          <w:tcPr>
            <w:tcW w:type="dxa" w:w="716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pPr>
              <w:jc w:val="center"/>
            </w:pPr>
            <w:r>
              <w:rPr>
                <w:rFonts w:ascii="Arial" w:cs="Arial" w:eastAsia="Arial" w:hAnsi="Arial"/>
                <w:b w:val="false"/>
                <w:bCs w:val="false"/>
                <w:color w:val="534AB7"/>
                <w:sz w:val="18"/>
                <w:szCs w:val="18"/>
              </w:rPr>
              <w:t xml:space="preserve">Multi-agent systems · Vision-language models · Retrieval-augmented generation · Explainable AI · Indic NLP · Agricultural advisory · Precision agriculture · Multimodal AI</w:t>
            </w:r>
          </w:p>
        </w:tc>
      </w:tr>
    </w:tbl>
    <w:p>
      <w:r>
        <w:br w:type="page"/>
      </w:r>
    </w:p>
    <w:p>
      <w:pPr>
        <w:pStyle w:val="Heading1"/>
        <w:pBdr>
          <w:bottom w:val="single" w:color="534AB7" w:sz="6" w:space="4"/>
        </w:pBdr>
        <w:spacing w:after="180" w:before="360"/>
      </w:pPr>
      <w:r>
        <w:rPr>
          <w:rFonts w:ascii="Arial" w:cs="Arial" w:eastAsia="Arial" w:hAnsi="Arial"/>
          <w:b/>
          <w:bCs/>
          <w:color w:val="0F2027"/>
          <w:sz w:val="32"/>
          <w:szCs w:val="32"/>
        </w:rPr>
        <w:t xml:space="preserve">2. Introduction</w:t>
      </w:r>
    </w:p>
    <w:p>
      <w:pPr>
        <w:pStyle w:val="Heading2"/>
        <w:spacing w:after="120" w:before="240"/>
      </w:pPr>
      <w:r>
        <w:rPr>
          <w:rFonts w:ascii="Arial" w:cs="Arial" w:eastAsia="Arial" w:hAnsi="Arial"/>
          <w:b/>
          <w:bCs/>
          <w:color w:val="534AB7"/>
          <w:sz w:val="26"/>
          <w:szCs w:val="26"/>
        </w:rPr>
        <w:t xml:space="preserve">2.1 Background and Motivation</w:t>
      </w:r>
    </w:p>
    <w:p>
      <w:pPr>
        <w:spacing w:after="160" w:before="0"/>
        <w:jc w:val="both"/>
      </w:pPr>
      <w:r>
        <w:rPr>
          <w:rFonts w:ascii="Arial" w:cs="Arial" w:eastAsia="Arial" w:hAnsi="Arial"/>
          <w:color w:val="1E293B"/>
          <w:sz w:val="22"/>
          <w:szCs w:val="22"/>
        </w:rPr>
        <w:t xml:space="preserve">Agriculture remains the backbone of the Indian economy, directly employing </w:t>
      </w:r>
      <w:r>
        <w:rPr>
          <w:rFonts w:ascii="Arial" w:cs="Arial" w:eastAsia="Arial" w:hAnsi="Arial"/>
          <w:b/>
          <w:bCs/>
          <w:color w:val="1E293B"/>
          <w:sz w:val="22"/>
          <w:szCs w:val="22"/>
        </w:rPr>
        <w:t xml:space="preserve">42.3% of the total workforce</w:t>
      </w:r>
      <w:r>
        <w:rPr>
          <w:rFonts w:ascii="Arial" w:cs="Arial" w:eastAsia="Arial" w:hAnsi="Arial"/>
          <w:color w:val="1E293B"/>
          <w:sz w:val="22"/>
          <w:szCs w:val="22"/>
        </w:rPr>
        <w:t xml:space="preserve"> and supporting over 600 million livelihoods (Ministry of Agriculture, 2024). Yet the sector continues to operate under a profound advisory deficit. The ratio of agricultural extension workers to farmers stands at </w:t>
      </w:r>
      <w:r>
        <w:rPr>
          <w:rFonts w:ascii="Arial" w:cs="Arial" w:eastAsia="Arial" w:hAnsi="Arial"/>
          <w:b/>
          <w:bCs/>
          <w:color w:val="1E293B"/>
          <w:sz w:val="22"/>
          <w:szCs w:val="22"/>
        </w:rPr>
        <w:t xml:space="preserve">1:1,000+</w:t>
      </w:r>
      <w:r>
        <w:rPr>
          <w:rFonts w:ascii="Arial" w:cs="Arial" w:eastAsia="Arial" w:hAnsi="Arial"/>
          <w:color w:val="1E293B"/>
          <w:sz w:val="22"/>
          <w:szCs w:val="22"/>
        </w:rPr>
        <w:t xml:space="preserve"> nationally — in states such as Uttar Pradesh, Bihar, and Madhya Pradesh this ratio deteriorates to 1:2,000 or worse (ICAR Annual Report, 2023). The consequence is stark: the majority of India's 146 million smallholder farm households make critical decisions about disease treatment, soil nutrition, crop selection, and market timing with no professional guidance.</w:t>
      </w:r>
    </w:p>
    <w:p>
      <w:pPr>
        <w:spacing w:after="160" w:before="0"/>
        <w:jc w:val="both"/>
      </w:pPr>
      <w:r>
        <w:rPr>
          <w:rFonts w:ascii="Arial" w:cs="Arial" w:eastAsia="Arial" w:hAnsi="Arial"/>
          <w:color w:val="1E293B"/>
          <w:sz w:val="22"/>
          <w:szCs w:val="22"/>
        </w:rPr>
        <w:t xml:space="preserve">The direct economic cost of this advisory gap is well-documented. Crop disease and pest attacks account for 26–30% of total annual crop production losses (FAO, 2022). Soil nutrient imbalances — primarily nitrogen, zinc, and boron deficiency — drain an additional 20–30% of potential yield annually (NABARD, 2023). Market price information asymmetry causes farmers to sell 30–40% below the price achievable with real-time mandi data (eNAM Annual Report, 2023). Collectively, these factors contribute to annual losses exceeding ₹1.5 lakh crore — a figure that represents both an economic tragedy and a research opportunity.</w:t>
      </w:r>
    </w:p>
    <w:p>
      <w:pPr>
        <w:pStyle w:val="Heading2"/>
        <w:spacing w:after="120" w:before="240"/>
      </w:pPr>
      <w:r>
        <w:rPr>
          <w:rFonts w:ascii="Arial" w:cs="Arial" w:eastAsia="Arial" w:hAnsi="Arial"/>
          <w:b/>
          <w:bCs/>
          <w:color w:val="534AB7"/>
          <w:sz w:val="26"/>
          <w:szCs w:val="26"/>
        </w:rPr>
        <w:t xml:space="preserve">2.2 The Promise and Limits of Current AI Solutions</w:t>
      </w:r>
    </w:p>
    <w:p>
      <w:pPr>
        <w:spacing w:after="160" w:before="0"/>
        <w:jc w:val="both"/>
      </w:pPr>
      <w:r>
        <w:rPr>
          <w:rFonts w:ascii="Arial" w:cs="Arial" w:eastAsia="Arial" w:hAnsi="Arial"/>
          <w:color w:val="1E293B"/>
          <w:sz w:val="22"/>
          <w:szCs w:val="22"/>
        </w:rPr>
        <w:t xml:space="preserve">The emergence of large language models (LLMs), vision-language models (VLMs), and retrieval-augmented generation (RAG) has catalysed a wave of agricultural AI systems. Farmer.Chat (ACM, 2024) has reached over 565,000 users across five countries. AgriDoctor (IEEE, 2025) has introduced agent-based multimodal reasoning into disease diagnosis. AgriGPT (arXiv, 2025) has demonstrated Tri-RAG knowledge grounding with a 342,000-pair specialised dataset. Yet each of these systems, examined individually, is </w:t>
      </w:r>
      <w:r>
        <w:rPr>
          <w:rFonts w:ascii="Arial" w:cs="Arial" w:eastAsia="Arial" w:hAnsi="Arial"/>
          <w:b/>
          <w:bCs/>
          <w:color w:val="1E293B"/>
          <w:sz w:val="22"/>
          <w:szCs w:val="22"/>
        </w:rPr>
        <w:t xml:space="preserve">fundamentally incomplete</w:t>
      </w:r>
      <w:r>
        <w:rPr>
          <w:rFonts w:ascii="Arial" w:cs="Arial" w:eastAsia="Arial" w:hAnsi="Arial"/>
          <w:color w:val="1E293B"/>
          <w:sz w:val="22"/>
          <w:szCs w:val="22"/>
        </w:rPr>
        <w:t xml:space="preserve"> as an advisory solution for Indian smallholder farmers.</w:t>
      </w:r>
    </w:p>
    <w:p>
      <w:pPr>
        <w:spacing w:after="160" w:before="0"/>
        <w:jc w:val="both"/>
      </w:pPr>
      <w:r>
        <w:rPr>
          <w:rFonts w:ascii="Arial" w:cs="Arial" w:eastAsia="Arial" w:hAnsi="Arial"/>
          <w:color w:val="1E293B"/>
          <w:sz w:val="22"/>
          <w:szCs w:val="22"/>
        </w:rPr>
        <w:t xml:space="preserve">Farmer.Chat handles text and knowledge-base queries but provides no image-grounded disease diagnosis and no soil sensor integration. AgriDoctor routes queries to specialist components but covers only disease and pest identification — crop recommendation, weather, nutrition, and market advisory are entirely absent. AgriGPT grounds knowledge through advanced retrieval but provides no voice input, no visual diagnosis, and no explainability. AgriM-LLM advances vision encoding for disease but operates as a standalone inference model with no conversational interface. None of these systems deliver explainable advice in Indic languages.</w:t>
      </w:r>
    </w:p>
    <w:p>
      <w:pPr>
        <w:pStyle w:val="Heading2"/>
        <w:spacing w:after="120" w:before="240"/>
      </w:pPr>
      <w:r>
        <w:rPr>
          <w:rFonts w:ascii="Arial" w:cs="Arial" w:eastAsia="Arial" w:hAnsi="Arial"/>
          <w:b/>
          <w:bCs/>
          <w:color w:val="534AB7"/>
          <w:sz w:val="26"/>
          <w:szCs w:val="26"/>
        </w:rPr>
        <w:t xml:space="preserve">2.3 Research Motivation</w:t>
      </w:r>
    </w:p>
    <w:p>
      <w:pPr>
        <w:spacing w:after="160" w:before="0"/>
        <w:jc w:val="both"/>
      </w:pPr>
      <w:r>
        <w:rPr>
          <w:rFonts w:ascii="Arial" w:cs="Arial" w:eastAsia="Arial" w:hAnsi="Arial"/>
          <w:color w:val="1E293B"/>
          <w:sz w:val="22"/>
          <w:szCs w:val="22"/>
        </w:rPr>
        <w:t xml:space="preserve">The convergence of several technological developments in 2024–2025 makes the proposed system both necessary and feasible. Vision Transformers with LoRA fine-tuning now achieve greater than 90% accuracy on agricultural disease datasets. Whisper large-v3 achieves word error rates below 20% for Hindi agricultural speech. Bhashini provides government-backed ASR and TTS infrastructure for 10+ Indic languages. LangGraph enables stateful multi-agent orchestration. RAG with hybrid retrieval and cross-encoder reranking produces faithfulness scores above 0.88 on domain-specific knowledge tasks. The missing piece is a unified system that brings these technologies together in a deployment-ready, farmer-accessible interface.</w:t>
      </w:r>
    </w:p>
    <w:p>
      <w:pPr>
        <w:pStyle w:val="Heading2"/>
        <w:spacing w:after="120" w:before="240"/>
      </w:pPr>
      <w:r>
        <w:rPr>
          <w:rFonts w:ascii="Arial" w:cs="Arial" w:eastAsia="Arial" w:hAnsi="Arial"/>
          <w:b/>
          <w:bCs/>
          <w:color w:val="534AB7"/>
          <w:sz w:val="26"/>
          <w:szCs w:val="26"/>
        </w:rPr>
        <w:t xml:space="preserve">2.4 Research Questions</w:t>
      </w:r>
    </w:p>
    <w:p>
      <w:pPr>
        <w:pStyle w:val="ListParagraph"/>
        <w:numPr>
          <w:ilvl w:val="0"/>
          <w:numId w:val="2"/>
        </w:numPr>
        <w:spacing w:after="80" w:before="0"/>
      </w:pPr>
      <w:r>
        <w:rPr>
          <w:rFonts w:ascii="Arial" w:cs="Arial" w:eastAsia="Arial" w:hAnsi="Arial"/>
          <w:color w:val="1E293B"/>
          <w:sz w:val="22"/>
          <w:szCs w:val="22"/>
        </w:rPr>
        <w:t xml:space="preserve">Can a multi-agent architecture with specialist domain models outperform single-agent general-purpose LLMs for multi-domain agricultural advisory?</w:t>
      </w:r>
    </w:p>
    <w:p>
      <w:pPr>
        <w:pStyle w:val="ListParagraph"/>
        <w:numPr>
          <w:ilvl w:val="0"/>
          <w:numId w:val="2"/>
        </w:numPr>
        <w:spacing w:after="80" w:before="0"/>
      </w:pPr>
      <w:r>
        <w:rPr>
          <w:rFonts w:ascii="Arial" w:cs="Arial" w:eastAsia="Arial" w:hAnsi="Arial"/>
          <w:color w:val="1E293B"/>
          <w:sz w:val="22"/>
          <w:szCs w:val="22"/>
        </w:rPr>
        <w:t xml:space="preserve">Does cross-modal fusion of leaf image features with soil sensor data improve nutrition deficiency diagnosis over image-only or sensor-only approaches?</w:t>
      </w:r>
    </w:p>
    <w:p>
      <w:pPr>
        <w:pStyle w:val="ListParagraph"/>
        <w:numPr>
          <w:ilvl w:val="0"/>
          <w:numId w:val="2"/>
        </w:numPr>
        <w:spacing w:after="80" w:before="0"/>
      </w:pPr>
      <w:r>
        <w:rPr>
          <w:rFonts w:ascii="Arial" w:cs="Arial" w:eastAsia="Arial" w:hAnsi="Arial"/>
          <w:color w:val="1E293B"/>
          <w:sz w:val="22"/>
          <w:szCs w:val="22"/>
        </w:rPr>
        <w:t xml:space="preserve">Does rendering Grad-CAM heatmaps and SHAP charts to farmers improve trust and acceptance of AI advisory recommendations?</w:t>
      </w:r>
    </w:p>
    <w:p>
      <w:pPr>
        <w:pStyle w:val="ListParagraph"/>
        <w:numPr>
          <w:ilvl w:val="0"/>
          <w:numId w:val="2"/>
        </w:numPr>
        <w:spacing w:after="80" w:before="0"/>
      </w:pPr>
      <w:r>
        <w:rPr>
          <w:rFonts w:ascii="Arial" w:cs="Arial" w:eastAsia="Arial" w:hAnsi="Arial"/>
          <w:color w:val="1E293B"/>
          <w:sz w:val="22"/>
          <w:szCs w:val="22"/>
        </w:rPr>
        <w:t xml:space="preserve">Can an end-to-end Indic voice pipeline achieve production-grade accuracy (WER &lt; 20% Hindi) when integrated with a RAG advisory backend?</w:t>
      </w:r>
    </w:p>
    <w:p>
      <w:pPr>
        <w:pStyle w:val="ListParagraph"/>
        <w:numPr>
          <w:ilvl w:val="0"/>
          <w:numId w:val="2"/>
        </w:numPr>
        <w:spacing w:after="80" w:before="0"/>
      </w:pPr>
      <w:r>
        <w:rPr>
          <w:rFonts w:ascii="Arial" w:cs="Arial" w:eastAsia="Arial" w:hAnsi="Arial"/>
          <w:color w:val="1E293B"/>
          <w:sz w:val="22"/>
          <w:szCs w:val="22"/>
        </w:rPr>
        <w:t xml:space="preserve">Can a single conversational system reliably co-deliver agronomic advisory and live market price guidance within a latency target of under 4 seconds?</w:t>
      </w:r>
    </w:p>
    <w:p>
      <w:r>
        <w:br w:type="page"/>
      </w:r>
    </w:p>
    <w:p>
      <w:pPr>
        <w:pStyle w:val="Heading1"/>
        <w:pBdr>
          <w:bottom w:val="single" w:color="534AB7" w:sz="6" w:space="4"/>
        </w:pBdr>
        <w:spacing w:after="180" w:before="360"/>
      </w:pPr>
      <w:r>
        <w:rPr>
          <w:rFonts w:ascii="Arial" w:cs="Arial" w:eastAsia="Arial" w:hAnsi="Arial"/>
          <w:b/>
          <w:bCs/>
          <w:color w:val="0F2027"/>
          <w:sz w:val="32"/>
          <w:szCs w:val="32"/>
        </w:rPr>
        <w:t xml:space="preserve">3. Literature Review</w:t>
      </w:r>
    </w:p>
    <w:p>
      <w:pPr>
        <w:pStyle w:val="Heading2"/>
        <w:spacing w:after="120" w:before="240"/>
      </w:pPr>
      <w:r>
        <w:rPr>
          <w:rFonts w:ascii="Arial" w:cs="Arial" w:eastAsia="Arial" w:hAnsi="Arial"/>
          <w:b/>
          <w:bCs/>
          <w:color w:val="534AB7"/>
          <w:sz w:val="26"/>
          <w:szCs w:val="26"/>
        </w:rPr>
        <w:t xml:space="preserve">3.1 Multi-Agent and Multimodal Agricultural Chatbots</w:t>
      </w:r>
    </w:p>
    <w:p>
      <w:pPr>
        <w:spacing w:after="160" w:before="0"/>
        <w:jc w:val="both"/>
      </w:pPr>
      <w:r>
        <w:rPr>
          <w:rFonts w:ascii="Arial" w:cs="Arial" w:eastAsia="Arial" w:hAnsi="Arial"/>
          <w:color w:val="1E293B"/>
          <w:sz w:val="22"/>
          <w:szCs w:val="22"/>
        </w:rPr>
        <w:t xml:space="preserve">The literature on agricultural conversational AI has evolved from simple rule-based expert systems to sophisticated multi-agent frameworks. This section reviews the six most relevant and architecturally significant systems.</w:t>
      </w:r>
    </w:p>
    <w:p>
      <w:pPr>
        <w:pStyle w:val="Heading3"/>
        <w:spacing w:after="80" w:before="180"/>
      </w:pPr>
      <w:r>
        <w:rPr>
          <w:rFonts w:ascii="Arial" w:cs="Arial" w:eastAsia="Arial" w:hAnsi="Arial"/>
          <w:b/>
          <w:bCs/>
          <w:color w:val="0F6E56"/>
          <w:sz w:val="22"/>
          <w:szCs w:val="22"/>
        </w:rPr>
        <w:t xml:space="preserve">3.1.1 Farmer.Chat (ACM, 2024)</w:t>
      </w:r>
    </w:p>
    <w:p>
      <w:pPr>
        <w:spacing w:after="160" w:before="0"/>
        <w:jc w:val="both"/>
      </w:pPr>
      <w:r>
        <w:rPr>
          <w:rFonts w:ascii="Arial" w:cs="Arial" w:eastAsia="Arial" w:hAnsi="Arial"/>
          <w:color w:val="1E293B"/>
          <w:sz w:val="22"/>
          <w:szCs w:val="22"/>
        </w:rPr>
        <w:t xml:space="preserve">Farmer.Chat represents the most widely deployed agricultural AI chatbot to date, having reached over 565,000 users across Kenya, Nigeria, Ethiopia, India, and Brazil. The system employs a multi-tier LLM pipeline for intent understanding, text retrieval, and response generation, accessible through WhatsApp in multiple languages. Its knowledge base integrates research papers, extension advisory documents, and Kisan Call Centre transcripts. Bhashini integration provides partial Indic language support. Despite its deployment success, Farmer.Chat is architecturally a </w:t>
      </w:r>
      <w:r>
        <w:rPr>
          <w:rFonts w:ascii="Arial" w:cs="Arial" w:eastAsia="Arial" w:hAnsi="Arial"/>
          <w:b/>
          <w:bCs/>
          <w:color w:val="1E293B"/>
          <w:sz w:val="22"/>
          <w:szCs w:val="22"/>
        </w:rPr>
        <w:t xml:space="preserve">single-agent system</w:t>
      </w:r>
      <w:r>
        <w:rPr>
          <w:rFonts w:ascii="Arial" w:cs="Arial" w:eastAsia="Arial" w:hAnsi="Arial"/>
          <w:color w:val="1E293B"/>
          <w:sz w:val="22"/>
          <w:szCs w:val="22"/>
        </w:rPr>
        <w:t xml:space="preserve"> — all query types are handled by one general-purpose LLM without specialist model routing. Critically, the system provides no image-grounded disease diagnosis, no soil sensor data integration, no live market price advisory, and no farmer-facing explainability.</w:t>
      </w:r>
    </w:p>
    <w:p>
      <w:pPr>
        <w:pStyle w:val="Heading3"/>
        <w:spacing w:after="80" w:before="180"/>
      </w:pPr>
      <w:r>
        <w:rPr>
          <w:rFonts w:ascii="Arial" w:cs="Arial" w:eastAsia="Arial" w:hAnsi="Arial"/>
          <w:b/>
          <w:bCs/>
          <w:color w:val="0F6E56"/>
          <w:sz w:val="22"/>
          <w:szCs w:val="22"/>
        </w:rPr>
        <w:t xml:space="preserve">3.1.2 AgriDoctor (IEEE, 2025)</w:t>
      </w:r>
    </w:p>
    <w:p>
      <w:pPr>
        <w:spacing w:after="160" w:before="0"/>
        <w:jc w:val="both"/>
      </w:pPr>
      <w:r>
        <w:rPr>
          <w:rFonts w:ascii="Arial" w:cs="Arial" w:eastAsia="Arial" w:hAnsi="Arial"/>
          <w:color w:val="1E293B"/>
          <w:sz w:val="22"/>
          <w:szCs w:val="22"/>
        </w:rPr>
        <w:t xml:space="preserve">AgriDoctor introduces a modular multi-agent framework specifically for crop disease diagnosis and agricultural knowledge interaction. The system integrates five components: a </w:t>
      </w:r>
      <w:r>
        <w:rPr>
          <w:rFonts w:ascii="Arial" w:cs="Arial" w:eastAsia="Arial" w:hAnsi="Arial"/>
          <w:b/>
          <w:bCs/>
          <w:color w:val="1E293B"/>
          <w:sz w:val="22"/>
          <w:szCs w:val="22"/>
        </w:rPr>
        <w:t xml:space="preserve">router</w:t>
      </w:r>
      <w:r>
        <w:rPr>
          <w:rFonts w:ascii="Arial" w:cs="Arial" w:eastAsia="Arial" w:hAnsi="Arial"/>
          <w:color w:val="1E293B"/>
          <w:sz w:val="22"/>
          <w:szCs w:val="22"/>
        </w:rPr>
        <w:t xml:space="preserve">, classifier, detector, knowledge retriever, and LLMs. A BERT-based intent classifier identifies user intent and dispatches multimodal inputs — images and text — to appropriate downstream modules. The AgriMM benchmark, comprising 400,000 annotated disease images and 300,000 bilingual prompts, supports training and evaluation. AgriDoctor represents the closest architectural predecessor to the proposed system, establishing the paradigm of intent-based routing to specialist models. However, its scope is confined to disease and pest identification — no crop recommendation, weather, nutrition deficiency, or market advisory agents are present. The system also lacks voice input, Indic language support, soil sensor integration, and farmer-facing XAI.</w:t>
      </w:r>
    </w:p>
    <w:p>
      <w:pPr>
        <w:pStyle w:val="Heading3"/>
        <w:spacing w:after="80" w:before="180"/>
      </w:pPr>
      <w:r>
        <w:rPr>
          <w:rFonts w:ascii="Arial" w:cs="Arial" w:eastAsia="Arial" w:hAnsi="Arial"/>
          <w:b/>
          <w:bCs/>
          <w:color w:val="0F6E56"/>
          <w:sz w:val="22"/>
          <w:szCs w:val="22"/>
        </w:rPr>
        <w:t xml:space="preserve">3.1.3 AgriGPT (arXiv, 2025)</w:t>
      </w:r>
    </w:p>
    <w:p>
      <w:pPr>
        <w:spacing w:after="160" w:before="0"/>
        <w:jc w:val="both"/>
      </w:pPr>
      <w:r>
        <w:rPr>
          <w:rFonts w:ascii="Arial" w:cs="Arial" w:eastAsia="Arial" w:hAnsi="Arial"/>
          <w:color w:val="1E293B"/>
          <w:sz w:val="22"/>
          <w:szCs w:val="22"/>
        </w:rPr>
        <w:t xml:space="preserve">AgriGPT proposes a domain-specialised LLM ecosystem built around a multi-agent data engine that compiles 342,000 high-quality agricultural QA pairs (Agri-342K). Its Tri-RAG framework combines dense retrieval, sparse retrieval, and multi-hop knowledge graph reasoning, representing the most advanced retrieval architecture in agricultural AI to date. An extended version, AgriGPT-VL, introduces a vision-language component with a 3-million-item multimodal corpus (1M image-caption pairs, 2M VQA pairs). Despite its strong knowledge grounding, AgriGPT is </w:t>
      </w:r>
      <w:r>
        <w:rPr>
          <w:rFonts w:ascii="Arial" w:cs="Arial" w:eastAsia="Arial" w:hAnsi="Arial"/>
          <w:b/>
          <w:bCs/>
          <w:color w:val="1E293B"/>
          <w:sz w:val="22"/>
          <w:szCs w:val="22"/>
        </w:rPr>
        <w:t xml:space="preserve">text-only at input</w:t>
      </w:r>
      <w:r>
        <w:rPr>
          <w:rFonts w:ascii="Arial" w:cs="Arial" w:eastAsia="Arial" w:hAnsi="Arial"/>
          <w:color w:val="1E293B"/>
          <w:sz w:val="22"/>
          <w:szCs w:val="22"/>
        </w:rPr>
        <w:t xml:space="preserve"> — no voice interface, no soil sensor integration, and no farmer-facing explainability are provided. The VL extension addresses visual grounding in isolation but does not integrate with the advisory pipeline.</w:t>
      </w:r>
    </w:p>
    <w:p>
      <w:pPr>
        <w:pStyle w:val="Heading3"/>
        <w:spacing w:after="80" w:before="180"/>
      </w:pPr>
      <w:r>
        <w:rPr>
          <w:rFonts w:ascii="Arial" w:cs="Arial" w:eastAsia="Arial" w:hAnsi="Arial"/>
          <w:b/>
          <w:bCs/>
          <w:color w:val="0F6E56"/>
          <w:sz w:val="22"/>
          <w:szCs w:val="22"/>
        </w:rPr>
        <w:t xml:space="preserve">3.1.4 AgriM-LLM (Preprints, January 2026)</w:t>
      </w:r>
    </w:p>
    <w:p>
      <w:pPr>
        <w:spacing w:after="160" w:before="0"/>
        <w:jc w:val="both"/>
      </w:pPr>
      <w:r>
        <w:rPr>
          <w:rFonts w:ascii="Arial" w:cs="Arial" w:eastAsia="Arial" w:hAnsi="Arial"/>
          <w:color w:val="1E293B"/>
          <w:sz w:val="22"/>
          <w:szCs w:val="22"/>
        </w:rPr>
        <w:t xml:space="preserve">AgriM-LLM advances agriculture-specific vision encoding through three novel components: an Enhanced Vision Encoder with Multi-Scale Feature Fusion for capturing subtle disease symptoms; an Agriculture-Knowledge-Enhanced Q-Former that injects structured domain knowledge into cross-modal alignment; and a Domain-Adaptive Language Model with multi-stage progressive fine-tuning. Evaluated on a comprehensive Chinese agricultural multimodal dataset, AgriM-LLM consistently outperforms general-purpose and domain-specific baselines on disease identification. However, it operates as a standalone inference model with no conversational interface, no multi-turn dialogue, no soil sensor integration, no market advisory, and no voice or Indic language support.</w:t>
      </w:r>
    </w:p>
    <w:p>
      <w:pPr>
        <w:pStyle w:val="Heading3"/>
        <w:spacing w:after="80" w:before="180"/>
      </w:pPr>
      <w:r>
        <w:rPr>
          <w:rFonts w:ascii="Arial" w:cs="Arial" w:eastAsia="Arial" w:hAnsi="Arial"/>
          <w:b/>
          <w:bCs/>
          <w:color w:val="0F6E56"/>
          <w:sz w:val="22"/>
          <w:szCs w:val="22"/>
        </w:rPr>
        <w:t xml:space="preserve">3.1.5 AgroAskAI (arXiv, December 2024)</w:t>
      </w:r>
    </w:p>
    <w:p>
      <w:pPr>
        <w:spacing w:after="160" w:before="0"/>
        <w:jc w:val="both"/>
      </w:pPr>
      <w:r>
        <w:rPr>
          <w:rFonts w:ascii="Arial" w:cs="Arial" w:eastAsia="Arial" w:hAnsi="Arial"/>
          <w:color w:val="1E293B"/>
          <w:sz w:val="22"/>
          <w:szCs w:val="22"/>
        </w:rPr>
        <w:t xml:space="preserve">AgroAskAI introduces a multi-agent reasoning system for climate adaptation decision support, targeting vulnerable rural communities with a focus on Guatemala and Central America. Its chain-of-responsibility architecture coordinates autonomous agents for weather retrieval, knowledge lookup, and response synthesis, with built-in governance mechanisms that mitigate hallucination through internal feedback loops. The system supports multilingual interaction. Despite its strong multi-agent governance design, AgroAskAI is focused exclusively on climate adaptation — disease diagnosis, nutrition advisory, crop recommendation, and market price intelligence are entirely absent.</w:t>
      </w:r>
    </w:p>
    <w:p>
      <w:pPr>
        <w:pStyle w:val="Heading3"/>
        <w:spacing w:after="80" w:before="180"/>
      </w:pPr>
      <w:r>
        <w:rPr>
          <w:rFonts w:ascii="Arial" w:cs="Arial" w:eastAsia="Arial" w:hAnsi="Arial"/>
          <w:b/>
          <w:bCs/>
          <w:color w:val="0F6E56"/>
          <w:sz w:val="22"/>
          <w:szCs w:val="22"/>
        </w:rPr>
        <w:t xml:space="preserve">3.1.6 Agentic AI for Smart Agriculture — MDPI 2026</w:t>
      </w:r>
    </w:p>
    <w:p>
      <w:pPr>
        <w:spacing w:after="160" w:before="0"/>
        <w:jc w:val="both"/>
      </w:pPr>
      <w:r>
        <w:rPr>
          <w:rFonts w:ascii="Arial" w:cs="Arial" w:eastAsia="Arial" w:hAnsi="Arial"/>
          <w:color w:val="1E293B"/>
          <w:sz w:val="22"/>
          <w:szCs w:val="22"/>
        </w:rPr>
        <w:t xml:space="preserve">This system integrates four specialised agents: Agent A for soil property monitoring, Agent B for weather sensing, Agent C for rice disease detection via computer vision, and Agent D as a multi-agent supervisor chatbot. It represents the most comprehensive sensor-to-chatbot integration in the literature, incorporating real IoT devices on farm. However, it is limited to a single crop (rice), covers only three domains (soil, weather, disease), lacks RAG knowledge grounding, provides no XAI to farmers, and has no voice or multilingual support.</w:t>
      </w:r>
    </w:p>
    <w:p>
      <w:pPr>
        <w:spacing w:after="80" w:before="0"/>
      </w:pPr>
      <w:r>
        <w:t xml:space="preserve"/>
      </w:r>
    </w:p>
    <w:p>
      <w:pPr>
        <w:spacing w:after="80" w:before="0"/>
        <w:jc w:val="center"/>
      </w:pPr>
      <w:r>
        <w:rPr>
          <w:rFonts w:ascii="Arial" w:cs="Arial" w:eastAsia="Arial" w:hAnsi="Arial"/>
          <w:b/>
          <w:bCs/>
          <w:color w:val="0F2027"/>
          <w:sz w:val="22"/>
          <w:szCs w:val="22"/>
        </w:rPr>
        <w:t xml:space="preserve">Table 1: Comparative analysis of state-of-the-art agricultural AI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900"/>
        <w:gridCol w:w="900"/>
        <w:gridCol w:w="900"/>
        <w:gridCol w:w="900"/>
        <w:gridCol w:w="900"/>
        <w:gridCol w:w="900"/>
        <w:gridCol w:w="900"/>
      </w:tblGrid>
      <w:tr>
        <w:trPr>
          <w:tblHeader/>
        </w:trPr>
        <w:tc>
          <w:tcPr>
            <w:tcW w:type="dxa" w:w="1560"/>
            <w:tcBorders>
              <w:top w:val="single" w:color="CCCCCC" w:sz="1"/>
              <w:left w:val="single" w:color="CCCCCC" w:sz="1"/>
              <w:bottom w:val="single" w:color="CCCCCC" w:sz="1"/>
              <w:right w:val="single" w:color="CCCCCC" w:sz="1"/>
            </w:tcBorders>
            <w:shd w:fill="0F202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System</w:t>
            </w:r>
          </w:p>
        </w:tc>
        <w:tc>
          <w:tcPr>
            <w:tcW w:type="dxa" w:w="900"/>
            <w:tcBorders>
              <w:top w:val="single" w:color="CCCCCC" w:sz="1"/>
              <w:left w:val="single" w:color="CCCCCC" w:sz="1"/>
              <w:bottom w:val="single" w:color="CCCCCC" w:sz="1"/>
              <w:right w:val="single" w:color="CCCCCC" w:sz="1"/>
            </w:tcBorders>
            <w:shd w:fill="0F202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Venue</w:t>
            </w:r>
          </w:p>
        </w:tc>
        <w:tc>
          <w:tcPr>
            <w:tcW w:type="dxa" w:w="900"/>
            <w:tcBorders>
              <w:top w:val="single" w:color="CCCCCC" w:sz="1"/>
              <w:left w:val="single" w:color="CCCCCC" w:sz="1"/>
              <w:bottom w:val="single" w:color="CCCCCC" w:sz="1"/>
              <w:right w:val="single" w:color="CCCCCC" w:sz="1"/>
            </w:tcBorders>
            <w:shd w:fill="0F202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Multi-agent</w:t>
            </w:r>
          </w:p>
        </w:tc>
        <w:tc>
          <w:tcPr>
            <w:tcW w:type="dxa" w:w="900"/>
            <w:tcBorders>
              <w:top w:val="single" w:color="CCCCCC" w:sz="1"/>
              <w:left w:val="single" w:color="CCCCCC" w:sz="1"/>
              <w:bottom w:val="single" w:color="CCCCCC" w:sz="1"/>
              <w:right w:val="single" w:color="CCCCCC" w:sz="1"/>
            </w:tcBorders>
            <w:shd w:fill="0F202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Vision disease</w:t>
            </w:r>
          </w:p>
        </w:tc>
        <w:tc>
          <w:tcPr>
            <w:tcW w:type="dxa" w:w="900"/>
            <w:tcBorders>
              <w:top w:val="single" w:color="CCCCCC" w:sz="1"/>
              <w:left w:val="single" w:color="CCCCCC" w:sz="1"/>
              <w:bottom w:val="single" w:color="CCCCCC" w:sz="1"/>
              <w:right w:val="single" w:color="CCCCCC" w:sz="1"/>
            </w:tcBorders>
            <w:shd w:fill="0F202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Sensor fusion</w:t>
            </w:r>
          </w:p>
        </w:tc>
        <w:tc>
          <w:tcPr>
            <w:tcW w:type="dxa" w:w="900"/>
            <w:tcBorders>
              <w:top w:val="single" w:color="CCCCCC" w:sz="1"/>
              <w:left w:val="single" w:color="CCCCCC" w:sz="1"/>
              <w:bottom w:val="single" w:color="CCCCCC" w:sz="1"/>
              <w:right w:val="single" w:color="CCCCCC" w:sz="1"/>
            </w:tcBorders>
            <w:shd w:fill="0F202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XAI to farmer</w:t>
            </w:r>
          </w:p>
        </w:tc>
        <w:tc>
          <w:tcPr>
            <w:tcW w:type="dxa" w:w="900"/>
            <w:tcBorders>
              <w:top w:val="single" w:color="CCCCCC" w:sz="1"/>
              <w:left w:val="single" w:color="CCCCCC" w:sz="1"/>
              <w:bottom w:val="single" w:color="CCCCCC" w:sz="1"/>
              <w:right w:val="single" w:color="CCCCCC" w:sz="1"/>
            </w:tcBorders>
            <w:shd w:fill="0F202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Voice/Indic</w:t>
            </w:r>
          </w:p>
        </w:tc>
        <w:tc>
          <w:tcPr>
            <w:tcW w:type="dxa" w:w="900"/>
            <w:tcBorders>
              <w:top w:val="single" w:color="CCCCCC" w:sz="1"/>
              <w:left w:val="single" w:color="CCCCCC" w:sz="1"/>
              <w:bottom w:val="single" w:color="CCCCCC" w:sz="1"/>
              <w:right w:val="single" w:color="CCCCCC" w:sz="1"/>
            </w:tcBorders>
            <w:shd w:fill="0F202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Market price</w:t>
            </w:r>
          </w:p>
        </w:tc>
      </w:tr>
      <w:tr>
        <w:tc>
          <w:tcPr>
            <w:tcW w:type="dxa" w:w="15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pPr>
              <w:jc w:val="center"/>
            </w:pPr>
            <w:r>
              <w:rPr>
                <w:rFonts w:ascii="Arial" w:cs="Arial" w:eastAsia="Arial" w:hAnsi="Arial"/>
                <w:b/>
                <w:bCs/>
                <w:color w:val="0F2027"/>
                <w:sz w:val="18"/>
                <w:szCs w:val="18"/>
              </w:rPr>
              <w:t xml:space="preserve">Farmer.Chat</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5F5E5A"/>
                <w:sz w:val="18"/>
                <w:szCs w:val="18"/>
              </w:rPr>
              <w:t xml:space="preserve">ACM 2024</w:t>
            </w:r>
          </w:p>
        </w:tc>
        <w:tc>
          <w:tcPr>
            <w:tcW w:type="dxa" w:w="900"/>
            <w:tcBorders>
              <w:top w:val="single" w:color="CCCCCC" w:sz="1"/>
              <w:left w:val="single" w:color="CCCCCC" w:sz="1"/>
              <w:bottom w:val="single" w:color="CCCCCC" w:sz="1"/>
              <w:right w:val="single" w:color="CCCCCC" w:sz="1"/>
            </w:tcBorders>
            <w:shd w:fill="FAECE7" w:val="clear"/>
            <w:tcMar>
              <w:top w:type="dxa" w:w="100"/>
              <w:left w:type="dxa" w:w="140"/>
              <w:bottom w:type="dxa" w:w="100"/>
              <w:right w:type="dxa" w:w="140"/>
            </w:tcMar>
          </w:tcPr>
          <w:p>
            <w:pPr>
              <w:jc w:val="center"/>
            </w:pPr>
            <w:r>
              <w:rPr>
                <w:rFonts w:ascii="Arial" w:cs="Arial" w:eastAsia="Arial" w:hAnsi="Arial"/>
                <w:b/>
                <w:bCs/>
                <w:color w:val="993C1D"/>
                <w:sz w:val="17"/>
                <w:szCs w:val="17"/>
              </w:rPr>
              <w:t xml:space="preserve">No</w:t>
            </w:r>
          </w:p>
        </w:tc>
        <w:tc>
          <w:tcPr>
            <w:tcW w:type="dxa" w:w="900"/>
            <w:tcBorders>
              <w:top w:val="single" w:color="CCCCCC" w:sz="1"/>
              <w:left w:val="single" w:color="CCCCCC" w:sz="1"/>
              <w:bottom w:val="single" w:color="CCCCCC" w:sz="1"/>
              <w:right w:val="single" w:color="CCCCCC" w:sz="1"/>
            </w:tcBorders>
            <w:shd w:fill="FAECE7" w:val="clear"/>
            <w:tcMar>
              <w:top w:type="dxa" w:w="100"/>
              <w:left w:type="dxa" w:w="140"/>
              <w:bottom w:type="dxa" w:w="100"/>
              <w:right w:type="dxa" w:w="140"/>
            </w:tcMar>
          </w:tcPr>
          <w:p>
            <w:pPr>
              <w:jc w:val="center"/>
            </w:pPr>
            <w:r>
              <w:rPr>
                <w:rFonts w:ascii="Arial" w:cs="Arial" w:eastAsia="Arial" w:hAnsi="Arial"/>
                <w:b/>
                <w:bCs/>
                <w:color w:val="993C1D"/>
                <w:sz w:val="17"/>
                <w:szCs w:val="17"/>
              </w:rPr>
              <w:t xml:space="preserve">No</w:t>
            </w:r>
          </w:p>
        </w:tc>
        <w:tc>
          <w:tcPr>
            <w:tcW w:type="dxa" w:w="900"/>
            <w:tcBorders>
              <w:top w:val="single" w:color="CCCCCC" w:sz="1"/>
              <w:left w:val="single" w:color="CCCCCC" w:sz="1"/>
              <w:bottom w:val="single" w:color="CCCCCC" w:sz="1"/>
              <w:right w:val="single" w:color="CCCCCC" w:sz="1"/>
            </w:tcBorders>
            <w:shd w:fill="FAECE7" w:val="clear"/>
            <w:tcMar>
              <w:top w:type="dxa" w:w="100"/>
              <w:left w:type="dxa" w:w="140"/>
              <w:bottom w:type="dxa" w:w="100"/>
              <w:right w:type="dxa" w:w="140"/>
            </w:tcMar>
          </w:tcPr>
          <w:p>
            <w:pPr>
              <w:jc w:val="center"/>
            </w:pPr>
            <w:r>
              <w:rPr>
                <w:rFonts w:ascii="Arial" w:cs="Arial" w:eastAsia="Arial" w:hAnsi="Arial"/>
                <w:b/>
                <w:bCs/>
                <w:color w:val="993C1D"/>
                <w:sz w:val="17"/>
                <w:szCs w:val="17"/>
              </w:rPr>
              <w:t xml:space="preserve">No</w:t>
            </w:r>
          </w:p>
        </w:tc>
        <w:tc>
          <w:tcPr>
            <w:tcW w:type="dxa" w:w="900"/>
            <w:tcBorders>
              <w:top w:val="single" w:color="CCCCCC" w:sz="1"/>
              <w:left w:val="single" w:color="CCCCCC" w:sz="1"/>
              <w:bottom w:val="single" w:color="CCCCCC" w:sz="1"/>
              <w:right w:val="single" w:color="CCCCCC" w:sz="1"/>
            </w:tcBorders>
            <w:shd w:fill="FAECE7" w:val="clear"/>
            <w:tcMar>
              <w:top w:type="dxa" w:w="100"/>
              <w:left w:type="dxa" w:w="140"/>
              <w:bottom w:type="dxa" w:w="100"/>
              <w:right w:type="dxa" w:w="140"/>
            </w:tcMar>
          </w:tcPr>
          <w:p>
            <w:pPr>
              <w:jc w:val="center"/>
            </w:pPr>
            <w:r>
              <w:rPr>
                <w:rFonts w:ascii="Arial" w:cs="Arial" w:eastAsia="Arial" w:hAnsi="Arial"/>
                <w:b/>
                <w:bCs/>
                <w:color w:val="993C1D"/>
                <w:sz w:val="17"/>
                <w:szCs w:val="17"/>
              </w:rPr>
              <w:t xml:space="preserve">No</w:t>
            </w:r>
          </w:p>
        </w:tc>
        <w:tc>
          <w:tcPr>
            <w:tcW w:type="dxa" w:w="900"/>
            <w:tcBorders>
              <w:top w:val="single" w:color="CCCCCC" w:sz="1"/>
              <w:left w:val="single" w:color="CCCCCC" w:sz="1"/>
              <w:bottom w:val="single" w:color="CCCCCC" w:sz="1"/>
              <w:right w:val="single" w:color="CCCCCC" w:sz="1"/>
            </w:tcBorders>
            <w:shd w:fill="FAECE7" w:val="clear"/>
            <w:tcMar>
              <w:top w:type="dxa" w:w="100"/>
              <w:left w:type="dxa" w:w="140"/>
              <w:bottom w:type="dxa" w:w="100"/>
              <w:right w:type="dxa" w:w="140"/>
            </w:tcMar>
          </w:tcPr>
          <w:p>
            <w:pPr>
              <w:jc w:val="center"/>
            </w:pPr>
            <w:r>
              <w:rPr>
                <w:rFonts w:ascii="Arial" w:cs="Arial" w:eastAsia="Arial" w:hAnsi="Arial"/>
                <w:b/>
                <w:bCs/>
                <w:color w:val="993C1D"/>
                <w:sz w:val="17"/>
                <w:szCs w:val="17"/>
              </w:rPr>
              <w:t xml:space="preserve">✓ Part.</w:t>
            </w:r>
          </w:p>
        </w:tc>
        <w:tc>
          <w:tcPr>
            <w:tcW w:type="dxa" w:w="900"/>
            <w:tcBorders>
              <w:top w:val="single" w:color="CCCCCC" w:sz="1"/>
              <w:left w:val="single" w:color="CCCCCC" w:sz="1"/>
              <w:bottom w:val="single" w:color="CCCCCC" w:sz="1"/>
              <w:right w:val="single" w:color="CCCCCC" w:sz="1"/>
            </w:tcBorders>
            <w:shd w:fill="FAECE7" w:val="clear"/>
            <w:tcMar>
              <w:top w:type="dxa" w:w="100"/>
              <w:left w:type="dxa" w:w="140"/>
              <w:bottom w:type="dxa" w:w="100"/>
              <w:right w:type="dxa" w:w="140"/>
            </w:tcMar>
          </w:tcPr>
          <w:p>
            <w:pPr>
              <w:jc w:val="center"/>
            </w:pPr>
            <w:r>
              <w:rPr>
                <w:rFonts w:ascii="Arial" w:cs="Arial" w:eastAsia="Arial" w:hAnsi="Arial"/>
                <w:b/>
                <w:bCs/>
                <w:color w:val="993C1D"/>
                <w:sz w:val="17"/>
                <w:szCs w:val="17"/>
              </w:rPr>
              <w:t xml:space="preserve">No</w:t>
            </w:r>
          </w:p>
        </w:tc>
      </w:tr>
      <w:tr>
        <w:tc>
          <w:tcPr>
            <w:tcW w:type="dxa" w:w="15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pPr>
              <w:jc w:val="center"/>
            </w:pPr>
            <w:r>
              <w:rPr>
                <w:rFonts w:ascii="Arial" w:cs="Arial" w:eastAsia="Arial" w:hAnsi="Arial"/>
                <w:b/>
                <w:bCs/>
                <w:color w:val="0F2027"/>
                <w:sz w:val="18"/>
                <w:szCs w:val="18"/>
              </w:rPr>
              <w:t xml:space="preserve">AgriDoctor</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5F5E5A"/>
                <w:sz w:val="18"/>
                <w:szCs w:val="18"/>
              </w:rPr>
              <w:t xml:space="preserve">IEEE 2025</w:t>
            </w:r>
          </w:p>
        </w:tc>
        <w:tc>
          <w:tcPr>
            <w:tcW w:type="dxa" w:w="900"/>
            <w:tcBorders>
              <w:top w:val="single" w:color="CCCCCC" w:sz="1"/>
              <w:left w:val="single" w:color="CCCCCC" w:sz="1"/>
              <w:bottom w:val="single" w:color="CCCCCC" w:sz="1"/>
              <w:right w:val="single" w:color="CCCCCC" w:sz="1"/>
            </w:tcBorders>
            <w:shd w:fill="FAECE7" w:val="clear"/>
            <w:tcMar>
              <w:top w:type="dxa" w:w="100"/>
              <w:left w:type="dxa" w:w="140"/>
              <w:bottom w:type="dxa" w:w="100"/>
              <w:right w:type="dxa" w:w="140"/>
            </w:tcMar>
          </w:tcPr>
          <w:p>
            <w:pPr>
              <w:jc w:val="center"/>
            </w:pPr>
            <w:r>
              <w:rPr>
                <w:rFonts w:ascii="Arial" w:cs="Arial" w:eastAsia="Arial" w:hAnsi="Arial"/>
                <w:b/>
                <w:bCs/>
                <w:color w:val="993C1D"/>
                <w:sz w:val="17"/>
                <w:szCs w:val="17"/>
              </w:rPr>
              <w:t xml:space="preserve">✓ Router</w:t>
            </w:r>
          </w:p>
        </w:tc>
        <w:tc>
          <w:tcPr>
            <w:tcW w:type="dxa" w:w="900"/>
            <w:tcBorders>
              <w:top w:val="single" w:color="CCCCCC" w:sz="1"/>
              <w:left w:val="single" w:color="CCCCCC" w:sz="1"/>
              <w:bottom w:val="single" w:color="CCCCCC" w:sz="1"/>
              <w:right w:val="single" w:color="CCCCCC" w:sz="1"/>
            </w:tcBorders>
            <w:shd w:fill="FAECE7" w:val="clear"/>
            <w:tcMar>
              <w:top w:type="dxa" w:w="100"/>
              <w:left w:type="dxa" w:w="140"/>
              <w:bottom w:type="dxa" w:w="100"/>
              <w:right w:type="dxa" w:w="140"/>
            </w:tcMar>
          </w:tcPr>
          <w:p>
            <w:pPr>
              <w:jc w:val="center"/>
            </w:pPr>
            <w:r>
              <w:rPr>
                <w:rFonts w:ascii="Arial" w:cs="Arial" w:eastAsia="Arial" w:hAnsi="Arial"/>
                <w:b/>
                <w:bCs/>
                <w:color w:val="993C1D"/>
                <w:sz w:val="17"/>
                <w:szCs w:val="17"/>
              </w:rPr>
              <w:t xml:space="preserve">✓ Strong</w:t>
            </w:r>
          </w:p>
        </w:tc>
        <w:tc>
          <w:tcPr>
            <w:tcW w:type="dxa" w:w="900"/>
            <w:tcBorders>
              <w:top w:val="single" w:color="CCCCCC" w:sz="1"/>
              <w:left w:val="single" w:color="CCCCCC" w:sz="1"/>
              <w:bottom w:val="single" w:color="CCCCCC" w:sz="1"/>
              <w:right w:val="single" w:color="CCCCCC" w:sz="1"/>
            </w:tcBorders>
            <w:shd w:fill="FAECE7" w:val="clear"/>
            <w:tcMar>
              <w:top w:type="dxa" w:w="100"/>
              <w:left w:type="dxa" w:w="140"/>
              <w:bottom w:type="dxa" w:w="100"/>
              <w:right w:type="dxa" w:w="140"/>
            </w:tcMar>
          </w:tcPr>
          <w:p>
            <w:pPr>
              <w:jc w:val="center"/>
            </w:pPr>
            <w:r>
              <w:rPr>
                <w:rFonts w:ascii="Arial" w:cs="Arial" w:eastAsia="Arial" w:hAnsi="Arial"/>
                <w:b/>
                <w:bCs/>
                <w:color w:val="993C1D"/>
                <w:sz w:val="17"/>
                <w:szCs w:val="17"/>
              </w:rPr>
              <w:t xml:space="preserve">No</w:t>
            </w:r>
          </w:p>
        </w:tc>
        <w:tc>
          <w:tcPr>
            <w:tcW w:type="dxa" w:w="900"/>
            <w:tcBorders>
              <w:top w:val="single" w:color="CCCCCC" w:sz="1"/>
              <w:left w:val="single" w:color="CCCCCC" w:sz="1"/>
              <w:bottom w:val="single" w:color="CCCCCC" w:sz="1"/>
              <w:right w:val="single" w:color="CCCCCC" w:sz="1"/>
            </w:tcBorders>
            <w:shd w:fill="FAECE7" w:val="clear"/>
            <w:tcMar>
              <w:top w:type="dxa" w:w="100"/>
              <w:left w:type="dxa" w:w="140"/>
              <w:bottom w:type="dxa" w:w="100"/>
              <w:right w:type="dxa" w:w="140"/>
            </w:tcMar>
          </w:tcPr>
          <w:p>
            <w:pPr>
              <w:jc w:val="center"/>
            </w:pPr>
            <w:r>
              <w:rPr>
                <w:rFonts w:ascii="Arial" w:cs="Arial" w:eastAsia="Arial" w:hAnsi="Arial"/>
                <w:b/>
                <w:bCs/>
                <w:color w:val="993C1D"/>
                <w:sz w:val="17"/>
                <w:szCs w:val="17"/>
              </w:rPr>
              <w:t xml:space="preserve">No</w:t>
            </w:r>
          </w:p>
        </w:tc>
        <w:tc>
          <w:tcPr>
            <w:tcW w:type="dxa" w:w="900"/>
            <w:tcBorders>
              <w:top w:val="single" w:color="CCCCCC" w:sz="1"/>
              <w:left w:val="single" w:color="CCCCCC" w:sz="1"/>
              <w:bottom w:val="single" w:color="CCCCCC" w:sz="1"/>
              <w:right w:val="single" w:color="CCCCCC" w:sz="1"/>
            </w:tcBorders>
            <w:shd w:fill="FAECE7" w:val="clear"/>
            <w:tcMar>
              <w:top w:type="dxa" w:w="100"/>
              <w:left w:type="dxa" w:w="140"/>
              <w:bottom w:type="dxa" w:w="100"/>
              <w:right w:type="dxa" w:w="140"/>
            </w:tcMar>
          </w:tcPr>
          <w:p>
            <w:pPr>
              <w:jc w:val="center"/>
            </w:pPr>
            <w:r>
              <w:rPr>
                <w:rFonts w:ascii="Arial" w:cs="Arial" w:eastAsia="Arial" w:hAnsi="Arial"/>
                <w:b/>
                <w:bCs/>
                <w:color w:val="993C1D"/>
                <w:sz w:val="17"/>
                <w:szCs w:val="17"/>
              </w:rPr>
              <w:t xml:space="preserve">No</w:t>
            </w:r>
          </w:p>
        </w:tc>
        <w:tc>
          <w:tcPr>
            <w:tcW w:type="dxa" w:w="900"/>
            <w:tcBorders>
              <w:top w:val="single" w:color="CCCCCC" w:sz="1"/>
              <w:left w:val="single" w:color="CCCCCC" w:sz="1"/>
              <w:bottom w:val="single" w:color="CCCCCC" w:sz="1"/>
              <w:right w:val="single" w:color="CCCCCC" w:sz="1"/>
            </w:tcBorders>
            <w:shd w:fill="FAECE7" w:val="clear"/>
            <w:tcMar>
              <w:top w:type="dxa" w:w="100"/>
              <w:left w:type="dxa" w:w="140"/>
              <w:bottom w:type="dxa" w:w="100"/>
              <w:right w:type="dxa" w:w="140"/>
            </w:tcMar>
          </w:tcPr>
          <w:p>
            <w:pPr>
              <w:jc w:val="center"/>
            </w:pPr>
            <w:r>
              <w:rPr>
                <w:rFonts w:ascii="Arial" w:cs="Arial" w:eastAsia="Arial" w:hAnsi="Arial"/>
                <w:b/>
                <w:bCs/>
                <w:color w:val="993C1D"/>
                <w:sz w:val="17"/>
                <w:szCs w:val="17"/>
              </w:rPr>
              <w:t xml:space="preserve">No</w:t>
            </w:r>
          </w:p>
        </w:tc>
      </w:tr>
      <w:tr>
        <w:tc>
          <w:tcPr>
            <w:tcW w:type="dxa" w:w="15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pPr>
              <w:jc w:val="center"/>
            </w:pPr>
            <w:r>
              <w:rPr>
                <w:rFonts w:ascii="Arial" w:cs="Arial" w:eastAsia="Arial" w:hAnsi="Arial"/>
                <w:b/>
                <w:bCs/>
                <w:color w:val="0F2027"/>
                <w:sz w:val="18"/>
                <w:szCs w:val="18"/>
              </w:rPr>
              <w:t xml:space="preserve">AgriGPT</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5F5E5A"/>
                <w:sz w:val="18"/>
                <w:szCs w:val="18"/>
              </w:rPr>
              <w:t xml:space="preserve">arXiv 2025</w:t>
            </w:r>
          </w:p>
        </w:tc>
        <w:tc>
          <w:tcPr>
            <w:tcW w:type="dxa" w:w="900"/>
            <w:tcBorders>
              <w:top w:val="single" w:color="CCCCCC" w:sz="1"/>
              <w:left w:val="single" w:color="CCCCCC" w:sz="1"/>
              <w:bottom w:val="single" w:color="CCCCCC" w:sz="1"/>
              <w:right w:val="single" w:color="CCCCCC" w:sz="1"/>
            </w:tcBorders>
            <w:shd w:fill="FAECE7" w:val="clear"/>
            <w:tcMar>
              <w:top w:type="dxa" w:w="100"/>
              <w:left w:type="dxa" w:w="140"/>
              <w:bottom w:type="dxa" w:w="100"/>
              <w:right w:type="dxa" w:w="140"/>
            </w:tcMar>
          </w:tcPr>
          <w:p>
            <w:pPr>
              <w:jc w:val="center"/>
            </w:pPr>
            <w:r>
              <w:rPr>
                <w:rFonts w:ascii="Arial" w:cs="Arial" w:eastAsia="Arial" w:hAnsi="Arial"/>
                <w:b/>
                <w:bCs/>
                <w:color w:val="993C1D"/>
                <w:sz w:val="17"/>
                <w:szCs w:val="17"/>
              </w:rPr>
              <w:t xml:space="preserve">✓ Data eng.</w:t>
            </w:r>
          </w:p>
        </w:tc>
        <w:tc>
          <w:tcPr>
            <w:tcW w:type="dxa" w:w="900"/>
            <w:tcBorders>
              <w:top w:val="single" w:color="CCCCCC" w:sz="1"/>
              <w:left w:val="single" w:color="CCCCCC" w:sz="1"/>
              <w:bottom w:val="single" w:color="CCCCCC" w:sz="1"/>
              <w:right w:val="single" w:color="CCCCCC" w:sz="1"/>
            </w:tcBorders>
            <w:shd w:fill="FAECE7" w:val="clear"/>
            <w:tcMar>
              <w:top w:type="dxa" w:w="100"/>
              <w:left w:type="dxa" w:w="140"/>
              <w:bottom w:type="dxa" w:w="100"/>
              <w:right w:type="dxa" w:w="140"/>
            </w:tcMar>
          </w:tcPr>
          <w:p>
            <w:pPr>
              <w:jc w:val="center"/>
            </w:pPr>
            <w:r>
              <w:rPr>
                <w:rFonts w:ascii="Arial" w:cs="Arial" w:eastAsia="Arial" w:hAnsi="Arial"/>
                <w:b/>
                <w:bCs/>
                <w:color w:val="993C1D"/>
                <w:sz w:val="17"/>
                <w:szCs w:val="17"/>
              </w:rPr>
              <w:t xml:space="preserve">✓ VL ext.</w:t>
            </w:r>
          </w:p>
        </w:tc>
        <w:tc>
          <w:tcPr>
            <w:tcW w:type="dxa" w:w="900"/>
            <w:tcBorders>
              <w:top w:val="single" w:color="CCCCCC" w:sz="1"/>
              <w:left w:val="single" w:color="CCCCCC" w:sz="1"/>
              <w:bottom w:val="single" w:color="CCCCCC" w:sz="1"/>
              <w:right w:val="single" w:color="CCCCCC" w:sz="1"/>
            </w:tcBorders>
            <w:shd w:fill="FAECE7" w:val="clear"/>
            <w:tcMar>
              <w:top w:type="dxa" w:w="100"/>
              <w:left w:type="dxa" w:w="140"/>
              <w:bottom w:type="dxa" w:w="100"/>
              <w:right w:type="dxa" w:w="140"/>
            </w:tcMar>
          </w:tcPr>
          <w:p>
            <w:pPr>
              <w:jc w:val="center"/>
            </w:pPr>
            <w:r>
              <w:rPr>
                <w:rFonts w:ascii="Arial" w:cs="Arial" w:eastAsia="Arial" w:hAnsi="Arial"/>
                <w:b/>
                <w:bCs/>
                <w:color w:val="993C1D"/>
                <w:sz w:val="17"/>
                <w:szCs w:val="17"/>
              </w:rPr>
              <w:t xml:space="preserve">No</w:t>
            </w:r>
          </w:p>
        </w:tc>
        <w:tc>
          <w:tcPr>
            <w:tcW w:type="dxa" w:w="900"/>
            <w:tcBorders>
              <w:top w:val="single" w:color="CCCCCC" w:sz="1"/>
              <w:left w:val="single" w:color="CCCCCC" w:sz="1"/>
              <w:bottom w:val="single" w:color="CCCCCC" w:sz="1"/>
              <w:right w:val="single" w:color="CCCCCC" w:sz="1"/>
            </w:tcBorders>
            <w:shd w:fill="FAECE7" w:val="clear"/>
            <w:tcMar>
              <w:top w:type="dxa" w:w="100"/>
              <w:left w:type="dxa" w:w="140"/>
              <w:bottom w:type="dxa" w:w="100"/>
              <w:right w:type="dxa" w:w="140"/>
            </w:tcMar>
          </w:tcPr>
          <w:p>
            <w:pPr>
              <w:jc w:val="center"/>
            </w:pPr>
            <w:r>
              <w:rPr>
                <w:rFonts w:ascii="Arial" w:cs="Arial" w:eastAsia="Arial" w:hAnsi="Arial"/>
                <w:b/>
                <w:bCs/>
                <w:color w:val="993C1D"/>
                <w:sz w:val="17"/>
                <w:szCs w:val="17"/>
              </w:rPr>
              <w:t xml:space="preserve">No</w:t>
            </w:r>
          </w:p>
        </w:tc>
        <w:tc>
          <w:tcPr>
            <w:tcW w:type="dxa" w:w="900"/>
            <w:tcBorders>
              <w:top w:val="single" w:color="CCCCCC" w:sz="1"/>
              <w:left w:val="single" w:color="CCCCCC" w:sz="1"/>
              <w:bottom w:val="single" w:color="CCCCCC" w:sz="1"/>
              <w:right w:val="single" w:color="CCCCCC" w:sz="1"/>
            </w:tcBorders>
            <w:shd w:fill="FAECE7" w:val="clear"/>
            <w:tcMar>
              <w:top w:type="dxa" w:w="100"/>
              <w:left w:type="dxa" w:w="140"/>
              <w:bottom w:type="dxa" w:w="100"/>
              <w:right w:type="dxa" w:w="140"/>
            </w:tcMar>
          </w:tcPr>
          <w:p>
            <w:pPr>
              <w:jc w:val="center"/>
            </w:pPr>
            <w:r>
              <w:rPr>
                <w:rFonts w:ascii="Arial" w:cs="Arial" w:eastAsia="Arial" w:hAnsi="Arial"/>
                <w:b/>
                <w:bCs/>
                <w:color w:val="993C1D"/>
                <w:sz w:val="17"/>
                <w:szCs w:val="17"/>
              </w:rPr>
              <w:t xml:space="preserve">No</w:t>
            </w:r>
          </w:p>
        </w:tc>
        <w:tc>
          <w:tcPr>
            <w:tcW w:type="dxa" w:w="900"/>
            <w:tcBorders>
              <w:top w:val="single" w:color="CCCCCC" w:sz="1"/>
              <w:left w:val="single" w:color="CCCCCC" w:sz="1"/>
              <w:bottom w:val="single" w:color="CCCCCC" w:sz="1"/>
              <w:right w:val="single" w:color="CCCCCC" w:sz="1"/>
            </w:tcBorders>
            <w:shd w:fill="FAECE7" w:val="clear"/>
            <w:tcMar>
              <w:top w:type="dxa" w:w="100"/>
              <w:left w:type="dxa" w:w="140"/>
              <w:bottom w:type="dxa" w:w="100"/>
              <w:right w:type="dxa" w:w="140"/>
            </w:tcMar>
          </w:tcPr>
          <w:p>
            <w:pPr>
              <w:jc w:val="center"/>
            </w:pPr>
            <w:r>
              <w:rPr>
                <w:rFonts w:ascii="Arial" w:cs="Arial" w:eastAsia="Arial" w:hAnsi="Arial"/>
                <w:b/>
                <w:bCs/>
                <w:color w:val="993C1D"/>
                <w:sz w:val="17"/>
                <w:szCs w:val="17"/>
              </w:rPr>
              <w:t xml:space="preserve">No</w:t>
            </w:r>
          </w:p>
        </w:tc>
      </w:tr>
      <w:tr>
        <w:tc>
          <w:tcPr>
            <w:tcW w:type="dxa" w:w="15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pPr>
              <w:jc w:val="center"/>
            </w:pPr>
            <w:r>
              <w:rPr>
                <w:rFonts w:ascii="Arial" w:cs="Arial" w:eastAsia="Arial" w:hAnsi="Arial"/>
                <w:b/>
                <w:bCs/>
                <w:color w:val="0F2027"/>
                <w:sz w:val="18"/>
                <w:szCs w:val="18"/>
              </w:rPr>
              <w:t xml:space="preserve">AgriM-LLM</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5F5E5A"/>
                <w:sz w:val="18"/>
                <w:szCs w:val="18"/>
              </w:rPr>
              <w:t xml:space="preserve">Pre. 2026</w:t>
            </w:r>
          </w:p>
        </w:tc>
        <w:tc>
          <w:tcPr>
            <w:tcW w:type="dxa" w:w="900"/>
            <w:tcBorders>
              <w:top w:val="single" w:color="CCCCCC" w:sz="1"/>
              <w:left w:val="single" w:color="CCCCCC" w:sz="1"/>
              <w:bottom w:val="single" w:color="CCCCCC" w:sz="1"/>
              <w:right w:val="single" w:color="CCCCCC" w:sz="1"/>
            </w:tcBorders>
            <w:shd w:fill="FAECE7" w:val="clear"/>
            <w:tcMar>
              <w:top w:type="dxa" w:w="100"/>
              <w:left w:type="dxa" w:w="140"/>
              <w:bottom w:type="dxa" w:w="100"/>
              <w:right w:type="dxa" w:w="140"/>
            </w:tcMar>
          </w:tcPr>
          <w:p>
            <w:pPr>
              <w:jc w:val="center"/>
            </w:pPr>
            <w:r>
              <w:rPr>
                <w:rFonts w:ascii="Arial" w:cs="Arial" w:eastAsia="Arial" w:hAnsi="Arial"/>
                <w:b/>
                <w:bCs/>
                <w:color w:val="993C1D"/>
                <w:sz w:val="17"/>
                <w:szCs w:val="17"/>
              </w:rPr>
              <w:t xml:space="preserve">No</w:t>
            </w:r>
          </w:p>
        </w:tc>
        <w:tc>
          <w:tcPr>
            <w:tcW w:type="dxa" w:w="900"/>
            <w:tcBorders>
              <w:top w:val="single" w:color="CCCCCC" w:sz="1"/>
              <w:left w:val="single" w:color="CCCCCC" w:sz="1"/>
              <w:bottom w:val="single" w:color="CCCCCC" w:sz="1"/>
              <w:right w:val="single" w:color="CCCCCC" w:sz="1"/>
            </w:tcBorders>
            <w:shd w:fill="FAECE7" w:val="clear"/>
            <w:tcMar>
              <w:top w:type="dxa" w:w="100"/>
              <w:left w:type="dxa" w:w="140"/>
              <w:bottom w:type="dxa" w:w="100"/>
              <w:right w:type="dxa" w:w="140"/>
            </w:tcMar>
          </w:tcPr>
          <w:p>
            <w:pPr>
              <w:jc w:val="center"/>
            </w:pPr>
            <w:r>
              <w:rPr>
                <w:rFonts w:ascii="Arial" w:cs="Arial" w:eastAsia="Arial" w:hAnsi="Arial"/>
                <w:b/>
                <w:bCs/>
                <w:color w:val="993C1D"/>
                <w:sz w:val="17"/>
                <w:szCs w:val="17"/>
              </w:rPr>
              <w:t xml:space="preserve">✓ Best VE</w:t>
            </w:r>
          </w:p>
        </w:tc>
        <w:tc>
          <w:tcPr>
            <w:tcW w:type="dxa" w:w="900"/>
            <w:tcBorders>
              <w:top w:val="single" w:color="CCCCCC" w:sz="1"/>
              <w:left w:val="single" w:color="CCCCCC" w:sz="1"/>
              <w:bottom w:val="single" w:color="CCCCCC" w:sz="1"/>
              <w:right w:val="single" w:color="CCCCCC" w:sz="1"/>
            </w:tcBorders>
            <w:shd w:fill="FAECE7" w:val="clear"/>
            <w:tcMar>
              <w:top w:type="dxa" w:w="100"/>
              <w:left w:type="dxa" w:w="140"/>
              <w:bottom w:type="dxa" w:w="100"/>
              <w:right w:type="dxa" w:w="140"/>
            </w:tcMar>
          </w:tcPr>
          <w:p>
            <w:pPr>
              <w:jc w:val="center"/>
            </w:pPr>
            <w:r>
              <w:rPr>
                <w:rFonts w:ascii="Arial" w:cs="Arial" w:eastAsia="Arial" w:hAnsi="Arial"/>
                <w:b/>
                <w:bCs/>
                <w:color w:val="993C1D"/>
                <w:sz w:val="17"/>
                <w:szCs w:val="17"/>
              </w:rPr>
              <w:t xml:space="preserve">No</w:t>
            </w:r>
          </w:p>
        </w:tc>
        <w:tc>
          <w:tcPr>
            <w:tcW w:type="dxa" w:w="900"/>
            <w:tcBorders>
              <w:top w:val="single" w:color="CCCCCC" w:sz="1"/>
              <w:left w:val="single" w:color="CCCCCC" w:sz="1"/>
              <w:bottom w:val="single" w:color="CCCCCC" w:sz="1"/>
              <w:right w:val="single" w:color="CCCCCC" w:sz="1"/>
            </w:tcBorders>
            <w:shd w:fill="FAECE7" w:val="clear"/>
            <w:tcMar>
              <w:top w:type="dxa" w:w="100"/>
              <w:left w:type="dxa" w:w="140"/>
              <w:bottom w:type="dxa" w:w="100"/>
              <w:right w:type="dxa" w:w="140"/>
            </w:tcMar>
          </w:tcPr>
          <w:p>
            <w:pPr>
              <w:jc w:val="center"/>
            </w:pPr>
            <w:r>
              <w:rPr>
                <w:rFonts w:ascii="Arial" w:cs="Arial" w:eastAsia="Arial" w:hAnsi="Arial"/>
                <w:b/>
                <w:bCs/>
                <w:color w:val="993C1D"/>
                <w:sz w:val="17"/>
                <w:szCs w:val="17"/>
              </w:rPr>
              <w:t xml:space="preserve">No</w:t>
            </w:r>
          </w:p>
        </w:tc>
        <w:tc>
          <w:tcPr>
            <w:tcW w:type="dxa" w:w="900"/>
            <w:tcBorders>
              <w:top w:val="single" w:color="CCCCCC" w:sz="1"/>
              <w:left w:val="single" w:color="CCCCCC" w:sz="1"/>
              <w:bottom w:val="single" w:color="CCCCCC" w:sz="1"/>
              <w:right w:val="single" w:color="CCCCCC" w:sz="1"/>
            </w:tcBorders>
            <w:shd w:fill="FAECE7" w:val="clear"/>
            <w:tcMar>
              <w:top w:type="dxa" w:w="100"/>
              <w:left w:type="dxa" w:w="140"/>
              <w:bottom w:type="dxa" w:w="100"/>
              <w:right w:type="dxa" w:w="140"/>
            </w:tcMar>
          </w:tcPr>
          <w:p>
            <w:pPr>
              <w:jc w:val="center"/>
            </w:pPr>
            <w:r>
              <w:rPr>
                <w:rFonts w:ascii="Arial" w:cs="Arial" w:eastAsia="Arial" w:hAnsi="Arial"/>
                <w:b/>
                <w:bCs/>
                <w:color w:val="993C1D"/>
                <w:sz w:val="17"/>
                <w:szCs w:val="17"/>
              </w:rPr>
              <w:t xml:space="preserve">No</w:t>
            </w:r>
          </w:p>
        </w:tc>
        <w:tc>
          <w:tcPr>
            <w:tcW w:type="dxa" w:w="900"/>
            <w:tcBorders>
              <w:top w:val="single" w:color="CCCCCC" w:sz="1"/>
              <w:left w:val="single" w:color="CCCCCC" w:sz="1"/>
              <w:bottom w:val="single" w:color="CCCCCC" w:sz="1"/>
              <w:right w:val="single" w:color="CCCCCC" w:sz="1"/>
            </w:tcBorders>
            <w:shd w:fill="FAECE7" w:val="clear"/>
            <w:tcMar>
              <w:top w:type="dxa" w:w="100"/>
              <w:left w:type="dxa" w:w="140"/>
              <w:bottom w:type="dxa" w:w="100"/>
              <w:right w:type="dxa" w:w="140"/>
            </w:tcMar>
          </w:tcPr>
          <w:p>
            <w:pPr>
              <w:jc w:val="center"/>
            </w:pPr>
            <w:r>
              <w:rPr>
                <w:rFonts w:ascii="Arial" w:cs="Arial" w:eastAsia="Arial" w:hAnsi="Arial"/>
                <w:b/>
                <w:bCs/>
                <w:color w:val="993C1D"/>
                <w:sz w:val="17"/>
                <w:szCs w:val="17"/>
              </w:rPr>
              <w:t xml:space="preserve">No</w:t>
            </w:r>
          </w:p>
        </w:tc>
      </w:tr>
      <w:tr>
        <w:tc>
          <w:tcPr>
            <w:tcW w:type="dxa" w:w="15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pPr>
              <w:jc w:val="center"/>
            </w:pPr>
            <w:r>
              <w:rPr>
                <w:rFonts w:ascii="Arial" w:cs="Arial" w:eastAsia="Arial" w:hAnsi="Arial"/>
                <w:b/>
                <w:bCs/>
                <w:color w:val="0F2027"/>
                <w:sz w:val="18"/>
                <w:szCs w:val="18"/>
              </w:rPr>
              <w:t xml:space="preserve">AgroAskAI</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5F5E5A"/>
                <w:sz w:val="18"/>
                <w:szCs w:val="18"/>
              </w:rPr>
              <w:t xml:space="preserve">arXiv 2024</w:t>
            </w:r>
          </w:p>
        </w:tc>
        <w:tc>
          <w:tcPr>
            <w:tcW w:type="dxa" w:w="900"/>
            <w:tcBorders>
              <w:top w:val="single" w:color="CCCCCC" w:sz="1"/>
              <w:left w:val="single" w:color="CCCCCC" w:sz="1"/>
              <w:bottom w:val="single" w:color="CCCCCC" w:sz="1"/>
              <w:right w:val="single" w:color="CCCCCC" w:sz="1"/>
            </w:tcBorders>
            <w:shd w:fill="FAECE7" w:val="clear"/>
            <w:tcMar>
              <w:top w:type="dxa" w:w="100"/>
              <w:left w:type="dxa" w:w="140"/>
              <w:bottom w:type="dxa" w:w="100"/>
              <w:right w:type="dxa" w:w="140"/>
            </w:tcMar>
          </w:tcPr>
          <w:p>
            <w:pPr>
              <w:jc w:val="center"/>
            </w:pPr>
            <w:r>
              <w:rPr>
                <w:rFonts w:ascii="Arial" w:cs="Arial" w:eastAsia="Arial" w:hAnsi="Arial"/>
                <w:b/>
                <w:bCs/>
                <w:color w:val="993C1D"/>
                <w:sz w:val="17"/>
                <w:szCs w:val="17"/>
              </w:rPr>
              <w:t xml:space="preserve">✓ Chain</w:t>
            </w:r>
          </w:p>
        </w:tc>
        <w:tc>
          <w:tcPr>
            <w:tcW w:type="dxa" w:w="900"/>
            <w:tcBorders>
              <w:top w:val="single" w:color="CCCCCC" w:sz="1"/>
              <w:left w:val="single" w:color="CCCCCC" w:sz="1"/>
              <w:bottom w:val="single" w:color="CCCCCC" w:sz="1"/>
              <w:right w:val="single" w:color="CCCCCC" w:sz="1"/>
            </w:tcBorders>
            <w:shd w:fill="FAECE7" w:val="clear"/>
            <w:tcMar>
              <w:top w:type="dxa" w:w="100"/>
              <w:left w:type="dxa" w:w="140"/>
              <w:bottom w:type="dxa" w:w="100"/>
              <w:right w:type="dxa" w:w="140"/>
            </w:tcMar>
          </w:tcPr>
          <w:p>
            <w:pPr>
              <w:jc w:val="center"/>
            </w:pPr>
            <w:r>
              <w:rPr>
                <w:rFonts w:ascii="Arial" w:cs="Arial" w:eastAsia="Arial" w:hAnsi="Arial"/>
                <w:b/>
                <w:bCs/>
                <w:color w:val="993C1D"/>
                <w:sz w:val="17"/>
                <w:szCs w:val="17"/>
              </w:rPr>
              <w:t xml:space="preserve">No</w:t>
            </w:r>
          </w:p>
        </w:tc>
        <w:tc>
          <w:tcPr>
            <w:tcW w:type="dxa" w:w="900"/>
            <w:tcBorders>
              <w:top w:val="single" w:color="CCCCCC" w:sz="1"/>
              <w:left w:val="single" w:color="CCCCCC" w:sz="1"/>
              <w:bottom w:val="single" w:color="CCCCCC" w:sz="1"/>
              <w:right w:val="single" w:color="CCCCCC" w:sz="1"/>
            </w:tcBorders>
            <w:shd w:fill="FAECE7" w:val="clear"/>
            <w:tcMar>
              <w:top w:type="dxa" w:w="100"/>
              <w:left w:type="dxa" w:w="140"/>
              <w:bottom w:type="dxa" w:w="100"/>
              <w:right w:type="dxa" w:w="140"/>
            </w:tcMar>
          </w:tcPr>
          <w:p>
            <w:pPr>
              <w:jc w:val="center"/>
            </w:pPr>
            <w:r>
              <w:rPr>
                <w:rFonts w:ascii="Arial" w:cs="Arial" w:eastAsia="Arial" w:hAnsi="Arial"/>
                <w:b/>
                <w:bCs/>
                <w:color w:val="993C1D"/>
                <w:sz w:val="17"/>
                <w:szCs w:val="17"/>
              </w:rPr>
              <w:t xml:space="preserve">No</w:t>
            </w:r>
          </w:p>
        </w:tc>
        <w:tc>
          <w:tcPr>
            <w:tcW w:type="dxa" w:w="900"/>
            <w:tcBorders>
              <w:top w:val="single" w:color="CCCCCC" w:sz="1"/>
              <w:left w:val="single" w:color="CCCCCC" w:sz="1"/>
              <w:bottom w:val="single" w:color="CCCCCC" w:sz="1"/>
              <w:right w:val="single" w:color="CCCCCC" w:sz="1"/>
            </w:tcBorders>
            <w:shd w:fill="FAECE7" w:val="clear"/>
            <w:tcMar>
              <w:top w:type="dxa" w:w="100"/>
              <w:left w:type="dxa" w:w="140"/>
              <w:bottom w:type="dxa" w:w="100"/>
              <w:right w:type="dxa" w:w="140"/>
            </w:tcMar>
          </w:tcPr>
          <w:p>
            <w:pPr>
              <w:jc w:val="center"/>
            </w:pPr>
            <w:r>
              <w:rPr>
                <w:rFonts w:ascii="Arial" w:cs="Arial" w:eastAsia="Arial" w:hAnsi="Arial"/>
                <w:b/>
                <w:bCs/>
                <w:color w:val="993C1D"/>
                <w:sz w:val="17"/>
                <w:szCs w:val="17"/>
              </w:rPr>
              <w:t xml:space="preserve">No</w:t>
            </w:r>
          </w:p>
        </w:tc>
        <w:tc>
          <w:tcPr>
            <w:tcW w:type="dxa" w:w="900"/>
            <w:tcBorders>
              <w:top w:val="single" w:color="CCCCCC" w:sz="1"/>
              <w:left w:val="single" w:color="CCCCCC" w:sz="1"/>
              <w:bottom w:val="single" w:color="CCCCCC" w:sz="1"/>
              <w:right w:val="single" w:color="CCCCCC" w:sz="1"/>
            </w:tcBorders>
            <w:shd w:fill="FAECE7" w:val="clear"/>
            <w:tcMar>
              <w:top w:type="dxa" w:w="100"/>
              <w:left w:type="dxa" w:w="140"/>
              <w:bottom w:type="dxa" w:w="100"/>
              <w:right w:type="dxa" w:w="140"/>
            </w:tcMar>
          </w:tcPr>
          <w:p>
            <w:pPr>
              <w:jc w:val="center"/>
            </w:pPr>
            <w:r>
              <w:rPr>
                <w:rFonts w:ascii="Arial" w:cs="Arial" w:eastAsia="Arial" w:hAnsi="Arial"/>
                <w:b/>
                <w:bCs/>
                <w:color w:val="993C1D"/>
                <w:sz w:val="17"/>
                <w:szCs w:val="17"/>
              </w:rPr>
              <w:t xml:space="preserve">✓ Part.</w:t>
            </w:r>
          </w:p>
        </w:tc>
        <w:tc>
          <w:tcPr>
            <w:tcW w:type="dxa" w:w="900"/>
            <w:tcBorders>
              <w:top w:val="single" w:color="CCCCCC" w:sz="1"/>
              <w:left w:val="single" w:color="CCCCCC" w:sz="1"/>
              <w:bottom w:val="single" w:color="CCCCCC" w:sz="1"/>
              <w:right w:val="single" w:color="CCCCCC" w:sz="1"/>
            </w:tcBorders>
            <w:shd w:fill="FAECE7" w:val="clear"/>
            <w:tcMar>
              <w:top w:type="dxa" w:w="100"/>
              <w:left w:type="dxa" w:w="140"/>
              <w:bottom w:type="dxa" w:w="100"/>
              <w:right w:type="dxa" w:w="140"/>
            </w:tcMar>
          </w:tcPr>
          <w:p>
            <w:pPr>
              <w:jc w:val="center"/>
            </w:pPr>
            <w:r>
              <w:rPr>
                <w:rFonts w:ascii="Arial" w:cs="Arial" w:eastAsia="Arial" w:hAnsi="Arial"/>
                <w:b/>
                <w:bCs/>
                <w:color w:val="993C1D"/>
                <w:sz w:val="17"/>
                <w:szCs w:val="17"/>
              </w:rPr>
              <w:t xml:space="preserve">No</w:t>
            </w:r>
          </w:p>
        </w:tc>
      </w:tr>
      <w:tr>
        <w:tc>
          <w:tcPr>
            <w:tcW w:type="dxa" w:w="15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pPr>
              <w:jc w:val="center"/>
            </w:pPr>
            <w:r>
              <w:rPr>
                <w:rFonts w:ascii="Arial" w:cs="Arial" w:eastAsia="Arial" w:hAnsi="Arial"/>
                <w:b/>
                <w:bCs/>
                <w:color w:val="0F2027"/>
                <w:sz w:val="18"/>
                <w:szCs w:val="18"/>
              </w:rPr>
              <w:t xml:space="preserve">MDPI Agri.</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5F5E5A"/>
                <w:sz w:val="18"/>
                <w:szCs w:val="18"/>
              </w:rPr>
              <w:t xml:space="preserve">MDPI 2026</w:t>
            </w:r>
          </w:p>
        </w:tc>
        <w:tc>
          <w:tcPr>
            <w:tcW w:type="dxa" w:w="900"/>
            <w:tcBorders>
              <w:top w:val="single" w:color="CCCCCC" w:sz="1"/>
              <w:left w:val="single" w:color="CCCCCC" w:sz="1"/>
              <w:bottom w:val="single" w:color="CCCCCC" w:sz="1"/>
              <w:right w:val="single" w:color="CCCCCC" w:sz="1"/>
            </w:tcBorders>
            <w:shd w:fill="FAECE7" w:val="clear"/>
            <w:tcMar>
              <w:top w:type="dxa" w:w="100"/>
              <w:left w:type="dxa" w:w="140"/>
              <w:bottom w:type="dxa" w:w="100"/>
              <w:right w:type="dxa" w:w="140"/>
            </w:tcMar>
          </w:tcPr>
          <w:p>
            <w:pPr>
              <w:jc w:val="center"/>
            </w:pPr>
            <w:r>
              <w:rPr>
                <w:rFonts w:ascii="Arial" w:cs="Arial" w:eastAsia="Arial" w:hAnsi="Arial"/>
                <w:b/>
                <w:bCs/>
                <w:color w:val="993C1D"/>
                <w:sz w:val="17"/>
                <w:szCs w:val="17"/>
              </w:rPr>
              <w:t xml:space="preserve">✓ 4 agents</w:t>
            </w:r>
          </w:p>
        </w:tc>
        <w:tc>
          <w:tcPr>
            <w:tcW w:type="dxa" w:w="900"/>
            <w:tcBorders>
              <w:top w:val="single" w:color="CCCCCC" w:sz="1"/>
              <w:left w:val="single" w:color="CCCCCC" w:sz="1"/>
              <w:bottom w:val="single" w:color="CCCCCC" w:sz="1"/>
              <w:right w:val="single" w:color="CCCCCC" w:sz="1"/>
            </w:tcBorders>
            <w:shd w:fill="FAECE7" w:val="clear"/>
            <w:tcMar>
              <w:top w:type="dxa" w:w="100"/>
              <w:left w:type="dxa" w:w="140"/>
              <w:bottom w:type="dxa" w:w="100"/>
              <w:right w:type="dxa" w:w="140"/>
            </w:tcMar>
          </w:tcPr>
          <w:p>
            <w:pPr>
              <w:jc w:val="center"/>
            </w:pPr>
            <w:r>
              <w:rPr>
                <w:rFonts w:ascii="Arial" w:cs="Arial" w:eastAsia="Arial" w:hAnsi="Arial"/>
                <w:b/>
                <w:bCs/>
                <w:color w:val="993C1D"/>
                <w:sz w:val="17"/>
                <w:szCs w:val="17"/>
              </w:rPr>
              <w:t xml:space="preserve">✓ Rice</w:t>
            </w:r>
          </w:p>
        </w:tc>
        <w:tc>
          <w:tcPr>
            <w:tcW w:type="dxa" w:w="900"/>
            <w:tcBorders>
              <w:top w:val="single" w:color="CCCCCC" w:sz="1"/>
              <w:left w:val="single" w:color="CCCCCC" w:sz="1"/>
              <w:bottom w:val="single" w:color="CCCCCC" w:sz="1"/>
              <w:right w:val="single" w:color="CCCCCC" w:sz="1"/>
            </w:tcBorders>
            <w:shd w:fill="FAECE7" w:val="clear"/>
            <w:tcMar>
              <w:top w:type="dxa" w:w="100"/>
              <w:left w:type="dxa" w:w="140"/>
              <w:bottom w:type="dxa" w:w="100"/>
              <w:right w:type="dxa" w:w="140"/>
            </w:tcMar>
          </w:tcPr>
          <w:p>
            <w:pPr>
              <w:jc w:val="center"/>
            </w:pPr>
            <w:r>
              <w:rPr>
                <w:rFonts w:ascii="Arial" w:cs="Arial" w:eastAsia="Arial" w:hAnsi="Arial"/>
                <w:b/>
                <w:bCs/>
                <w:color w:val="993C1D"/>
                <w:sz w:val="17"/>
                <w:szCs w:val="17"/>
              </w:rPr>
              <w:t xml:space="preserve">✓ Part.</w:t>
            </w:r>
          </w:p>
        </w:tc>
        <w:tc>
          <w:tcPr>
            <w:tcW w:type="dxa" w:w="900"/>
            <w:tcBorders>
              <w:top w:val="single" w:color="CCCCCC" w:sz="1"/>
              <w:left w:val="single" w:color="CCCCCC" w:sz="1"/>
              <w:bottom w:val="single" w:color="CCCCCC" w:sz="1"/>
              <w:right w:val="single" w:color="CCCCCC" w:sz="1"/>
            </w:tcBorders>
            <w:shd w:fill="FAECE7" w:val="clear"/>
            <w:tcMar>
              <w:top w:type="dxa" w:w="100"/>
              <w:left w:type="dxa" w:w="140"/>
              <w:bottom w:type="dxa" w:w="100"/>
              <w:right w:type="dxa" w:w="140"/>
            </w:tcMar>
          </w:tcPr>
          <w:p>
            <w:pPr>
              <w:jc w:val="center"/>
            </w:pPr>
            <w:r>
              <w:rPr>
                <w:rFonts w:ascii="Arial" w:cs="Arial" w:eastAsia="Arial" w:hAnsi="Arial"/>
                <w:b/>
                <w:bCs/>
                <w:color w:val="993C1D"/>
                <w:sz w:val="17"/>
                <w:szCs w:val="17"/>
              </w:rPr>
              <w:t xml:space="preserve">No</w:t>
            </w:r>
          </w:p>
        </w:tc>
        <w:tc>
          <w:tcPr>
            <w:tcW w:type="dxa" w:w="900"/>
            <w:tcBorders>
              <w:top w:val="single" w:color="CCCCCC" w:sz="1"/>
              <w:left w:val="single" w:color="CCCCCC" w:sz="1"/>
              <w:bottom w:val="single" w:color="CCCCCC" w:sz="1"/>
              <w:right w:val="single" w:color="CCCCCC" w:sz="1"/>
            </w:tcBorders>
            <w:shd w:fill="FAECE7" w:val="clear"/>
            <w:tcMar>
              <w:top w:type="dxa" w:w="100"/>
              <w:left w:type="dxa" w:w="140"/>
              <w:bottom w:type="dxa" w:w="100"/>
              <w:right w:type="dxa" w:w="140"/>
            </w:tcMar>
          </w:tcPr>
          <w:p>
            <w:pPr>
              <w:jc w:val="center"/>
            </w:pPr>
            <w:r>
              <w:rPr>
                <w:rFonts w:ascii="Arial" w:cs="Arial" w:eastAsia="Arial" w:hAnsi="Arial"/>
                <w:b/>
                <w:bCs/>
                <w:color w:val="993C1D"/>
                <w:sz w:val="17"/>
                <w:szCs w:val="17"/>
              </w:rPr>
              <w:t xml:space="preserve">No</w:t>
            </w:r>
          </w:p>
        </w:tc>
        <w:tc>
          <w:tcPr>
            <w:tcW w:type="dxa" w:w="900"/>
            <w:tcBorders>
              <w:top w:val="single" w:color="CCCCCC" w:sz="1"/>
              <w:left w:val="single" w:color="CCCCCC" w:sz="1"/>
              <w:bottom w:val="single" w:color="CCCCCC" w:sz="1"/>
              <w:right w:val="single" w:color="CCCCCC" w:sz="1"/>
            </w:tcBorders>
            <w:shd w:fill="FAECE7" w:val="clear"/>
            <w:tcMar>
              <w:top w:type="dxa" w:w="100"/>
              <w:left w:type="dxa" w:w="140"/>
              <w:bottom w:type="dxa" w:w="100"/>
              <w:right w:type="dxa" w:w="140"/>
            </w:tcMar>
          </w:tcPr>
          <w:p>
            <w:pPr>
              <w:jc w:val="center"/>
            </w:pPr>
            <w:r>
              <w:rPr>
                <w:rFonts w:ascii="Arial" w:cs="Arial" w:eastAsia="Arial" w:hAnsi="Arial"/>
                <w:b/>
                <w:bCs/>
                <w:color w:val="993C1D"/>
                <w:sz w:val="17"/>
                <w:szCs w:val="17"/>
              </w:rPr>
              <w:t xml:space="preserve">No</w:t>
            </w:r>
          </w:p>
        </w:tc>
      </w:tr>
      <w:tr>
        <w:tc>
          <w:tcPr>
            <w:tcW w:type="dxa" w:w="1560"/>
            <w:tcBorders>
              <w:top w:val="single" w:color="CCCCCC" w:sz="1"/>
              <w:left w:val="single" w:color="CCCCCC" w:sz="1"/>
              <w:bottom w:val="single" w:color="CCCCCC" w:sz="1"/>
              <w:right w:val="single" w:color="CCCCCC" w:sz="1"/>
            </w:tcBorders>
            <w:shd w:fill="534AB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Proposed System</w:t>
            </w:r>
          </w:p>
        </w:tc>
        <w:tc>
          <w:tcPr>
            <w:tcW w:type="dxa" w:w="90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pPr>
              <w:jc w:val="center"/>
            </w:pPr>
            <w:r>
              <w:rPr>
                <w:rFonts w:ascii="Arial" w:cs="Arial" w:eastAsia="Arial" w:hAnsi="Arial"/>
                <w:b w:val="false"/>
                <w:bCs w:val="false"/>
                <w:color w:val="534AB7"/>
                <w:sz w:val="18"/>
                <w:szCs w:val="18"/>
              </w:rPr>
              <w:t xml:space="preserve">Thesis 2025</w:t>
            </w:r>
          </w:p>
        </w:tc>
        <w:tc>
          <w:tcPr>
            <w:tcW w:type="dxa" w:w="900"/>
            <w:tcBorders>
              <w:top w:val="single" w:color="CCCCCC" w:sz="1"/>
              <w:left w:val="single" w:color="CCCCCC" w:sz="1"/>
              <w:bottom w:val="single" w:color="CCCCCC" w:sz="1"/>
              <w:right w:val="single" w:color="CCCCCC" w:sz="1"/>
            </w:tcBorders>
            <w:shd w:fill="EAF3DE" w:val="clear"/>
            <w:tcMar>
              <w:top w:type="dxa" w:w="100"/>
              <w:left w:type="dxa" w:w="140"/>
              <w:bottom w:type="dxa" w:w="100"/>
              <w:right w:type="dxa" w:w="140"/>
            </w:tcMar>
          </w:tcPr>
          <w:p>
            <w:pPr>
              <w:jc w:val="center"/>
            </w:pPr>
            <w:r>
              <w:rPr>
                <w:rFonts w:ascii="Arial" w:cs="Arial" w:eastAsia="Arial" w:hAnsi="Arial"/>
                <w:b/>
                <w:bCs/>
                <w:color w:val="3B6D11"/>
                <w:sz w:val="17"/>
                <w:szCs w:val="17"/>
              </w:rPr>
              <w:t xml:space="preserve">Yes</w:t>
            </w:r>
          </w:p>
        </w:tc>
        <w:tc>
          <w:tcPr>
            <w:tcW w:type="dxa" w:w="900"/>
            <w:tcBorders>
              <w:top w:val="single" w:color="CCCCCC" w:sz="1"/>
              <w:left w:val="single" w:color="CCCCCC" w:sz="1"/>
              <w:bottom w:val="single" w:color="CCCCCC" w:sz="1"/>
              <w:right w:val="single" w:color="CCCCCC" w:sz="1"/>
            </w:tcBorders>
            <w:shd w:fill="EAF3DE" w:val="clear"/>
            <w:tcMar>
              <w:top w:type="dxa" w:w="100"/>
              <w:left w:type="dxa" w:w="140"/>
              <w:bottom w:type="dxa" w:w="100"/>
              <w:right w:type="dxa" w:w="140"/>
            </w:tcMar>
          </w:tcPr>
          <w:p>
            <w:pPr>
              <w:jc w:val="center"/>
            </w:pPr>
            <w:r>
              <w:rPr>
                <w:rFonts w:ascii="Arial" w:cs="Arial" w:eastAsia="Arial" w:hAnsi="Arial"/>
                <w:b/>
                <w:bCs/>
                <w:color w:val="3B6D11"/>
                <w:sz w:val="17"/>
                <w:szCs w:val="17"/>
              </w:rPr>
              <w:t xml:space="preserve">Yes</w:t>
            </w:r>
          </w:p>
        </w:tc>
        <w:tc>
          <w:tcPr>
            <w:tcW w:type="dxa" w:w="900"/>
            <w:tcBorders>
              <w:top w:val="single" w:color="CCCCCC" w:sz="1"/>
              <w:left w:val="single" w:color="CCCCCC" w:sz="1"/>
              <w:bottom w:val="single" w:color="CCCCCC" w:sz="1"/>
              <w:right w:val="single" w:color="CCCCCC" w:sz="1"/>
            </w:tcBorders>
            <w:shd w:fill="EAF3DE" w:val="clear"/>
            <w:tcMar>
              <w:top w:type="dxa" w:w="100"/>
              <w:left w:type="dxa" w:w="140"/>
              <w:bottom w:type="dxa" w:w="100"/>
              <w:right w:type="dxa" w:w="140"/>
            </w:tcMar>
          </w:tcPr>
          <w:p>
            <w:pPr>
              <w:jc w:val="center"/>
            </w:pPr>
            <w:r>
              <w:rPr>
                <w:rFonts w:ascii="Arial" w:cs="Arial" w:eastAsia="Arial" w:hAnsi="Arial"/>
                <w:b/>
                <w:bCs/>
                <w:color w:val="3B6D11"/>
                <w:sz w:val="17"/>
                <w:szCs w:val="17"/>
              </w:rPr>
              <w:t xml:space="preserve">Yes</w:t>
            </w:r>
          </w:p>
        </w:tc>
        <w:tc>
          <w:tcPr>
            <w:tcW w:type="dxa" w:w="900"/>
            <w:tcBorders>
              <w:top w:val="single" w:color="CCCCCC" w:sz="1"/>
              <w:left w:val="single" w:color="CCCCCC" w:sz="1"/>
              <w:bottom w:val="single" w:color="CCCCCC" w:sz="1"/>
              <w:right w:val="single" w:color="CCCCCC" w:sz="1"/>
            </w:tcBorders>
            <w:shd w:fill="EAF3DE" w:val="clear"/>
            <w:tcMar>
              <w:top w:type="dxa" w:w="100"/>
              <w:left w:type="dxa" w:w="140"/>
              <w:bottom w:type="dxa" w:w="100"/>
              <w:right w:type="dxa" w:w="140"/>
            </w:tcMar>
          </w:tcPr>
          <w:p>
            <w:pPr>
              <w:jc w:val="center"/>
            </w:pPr>
            <w:r>
              <w:rPr>
                <w:rFonts w:ascii="Arial" w:cs="Arial" w:eastAsia="Arial" w:hAnsi="Arial"/>
                <w:b/>
                <w:bCs/>
                <w:color w:val="3B6D11"/>
                <w:sz w:val="17"/>
                <w:szCs w:val="17"/>
              </w:rPr>
              <w:t xml:space="preserve">Yes</w:t>
            </w:r>
          </w:p>
        </w:tc>
        <w:tc>
          <w:tcPr>
            <w:tcW w:type="dxa" w:w="900"/>
            <w:tcBorders>
              <w:top w:val="single" w:color="CCCCCC" w:sz="1"/>
              <w:left w:val="single" w:color="CCCCCC" w:sz="1"/>
              <w:bottom w:val="single" w:color="CCCCCC" w:sz="1"/>
              <w:right w:val="single" w:color="CCCCCC" w:sz="1"/>
            </w:tcBorders>
            <w:shd w:fill="EAF3DE" w:val="clear"/>
            <w:tcMar>
              <w:top w:type="dxa" w:w="100"/>
              <w:left w:type="dxa" w:w="140"/>
              <w:bottom w:type="dxa" w:w="100"/>
              <w:right w:type="dxa" w:w="140"/>
            </w:tcMar>
          </w:tcPr>
          <w:p>
            <w:pPr>
              <w:jc w:val="center"/>
            </w:pPr>
            <w:r>
              <w:rPr>
                <w:rFonts w:ascii="Arial" w:cs="Arial" w:eastAsia="Arial" w:hAnsi="Arial"/>
                <w:b/>
                <w:bCs/>
                <w:color w:val="3B6D11"/>
                <w:sz w:val="17"/>
                <w:szCs w:val="17"/>
              </w:rPr>
              <w:t xml:space="preserve">Yes</w:t>
            </w:r>
          </w:p>
        </w:tc>
        <w:tc>
          <w:tcPr>
            <w:tcW w:type="dxa" w:w="900"/>
            <w:tcBorders>
              <w:top w:val="single" w:color="CCCCCC" w:sz="1"/>
              <w:left w:val="single" w:color="CCCCCC" w:sz="1"/>
              <w:bottom w:val="single" w:color="CCCCCC" w:sz="1"/>
              <w:right w:val="single" w:color="CCCCCC" w:sz="1"/>
            </w:tcBorders>
            <w:shd w:fill="EAF3DE" w:val="clear"/>
            <w:tcMar>
              <w:top w:type="dxa" w:w="100"/>
              <w:left w:type="dxa" w:w="140"/>
              <w:bottom w:type="dxa" w:w="100"/>
              <w:right w:type="dxa" w:w="140"/>
            </w:tcMar>
          </w:tcPr>
          <w:p>
            <w:pPr>
              <w:jc w:val="center"/>
            </w:pPr>
            <w:r>
              <w:rPr>
                <w:rFonts w:ascii="Arial" w:cs="Arial" w:eastAsia="Arial" w:hAnsi="Arial"/>
                <w:b/>
                <w:bCs/>
                <w:color w:val="3B6D11"/>
                <w:sz w:val="17"/>
                <w:szCs w:val="17"/>
              </w:rPr>
              <w:t xml:space="preserve">Yes</w:t>
            </w:r>
          </w:p>
        </w:tc>
      </w:tr>
    </w:tbl>
    <w:p>
      <w:pPr>
        <w:spacing w:after="200" w:before="60"/>
        <w:jc w:val="center"/>
      </w:pPr>
      <w:r>
        <w:rPr>
          <w:rFonts w:ascii="Arial" w:cs="Arial" w:eastAsia="Arial" w:hAnsi="Arial"/>
          <w:color w:val="64748B"/>
          <w:sz w:val="18"/>
          <w:szCs w:val="18"/>
        </w:rPr>
        <w:t xml:space="preserve">Table 1: Feature comparison across state-of-the-art agricultural AI systems. ✓ = capability present, ✗ = capability absent.</w:t>
      </w:r>
    </w:p>
    <w:p>
      <w:pPr>
        <w:pStyle w:val="Heading2"/>
        <w:spacing w:after="120" w:before="240"/>
      </w:pPr>
      <w:r>
        <w:rPr>
          <w:rFonts w:ascii="Arial" w:cs="Arial" w:eastAsia="Arial" w:hAnsi="Arial"/>
          <w:b/>
          <w:bCs/>
          <w:color w:val="534AB7"/>
          <w:sz w:val="26"/>
          <w:szCs w:val="26"/>
        </w:rPr>
        <w:t xml:space="preserve">3.2 Vision-Language Models for Plant Disease</w:t>
      </w:r>
    </w:p>
    <w:p>
      <w:pPr>
        <w:spacing w:after="160" w:before="0"/>
        <w:jc w:val="both"/>
      </w:pPr>
      <w:r>
        <w:rPr>
          <w:rFonts w:ascii="Arial" w:cs="Arial" w:eastAsia="Arial" w:hAnsi="Arial"/>
          <w:color w:val="1E293B"/>
          <w:sz w:val="22"/>
          <w:szCs w:val="22"/>
        </w:rPr>
        <w:t xml:space="preserve">Beyond dedicated chatbots, a parallel stream of research has advanced vision models for plant disease identification. LLMI-CDP (Scientific Reports, 2025) fine-tunes VisualGLM with LoRA to enable dialogue-based crop disease identification across multiple crops. AgriChain (arXiv, 2025) uses GPT-4o Chain-of-Thought prompting with expert verification to generate reasoning chains for agricultural VLMs, fine-tuning Qwen-2.5-VL with expert-verified visual reasoning as a training signal. The Self-Consistency VLMs paper (arXiv, 2025) demonstrates that sampling k=5 diverse outputs and selecting by consensus reduces disease classification error rate by 18%.</w:t>
      </w:r>
    </w:p>
    <w:p>
      <w:pPr>
        <w:spacing w:after="160" w:before="0"/>
        <w:jc w:val="both"/>
      </w:pPr>
      <w:r>
        <w:rPr>
          <w:rFonts w:ascii="Arial" w:cs="Arial" w:eastAsia="Arial" w:hAnsi="Arial"/>
          <w:color w:val="1E293B"/>
          <w:sz w:val="22"/>
          <w:szCs w:val="22"/>
        </w:rPr>
        <w:t xml:space="preserve">Collectively these papers establish that: (1) fine-tuned VLMs significantly outperform general-purpose models on agricultural disease tasks; (2) chain-of-thought reasoning improves agricultural advisory quality; and (3) self-consistency sampling can substitute for confidence-based filtering. These findings directly inform the disease diagnostic agent design in the proposed system.</w:t>
      </w:r>
    </w:p>
    <w:p>
      <w:pPr>
        <w:pStyle w:val="Heading2"/>
        <w:spacing w:after="120" w:before="240"/>
      </w:pPr>
      <w:r>
        <w:rPr>
          <w:rFonts w:ascii="Arial" w:cs="Arial" w:eastAsia="Arial" w:hAnsi="Arial"/>
          <w:b/>
          <w:bCs/>
          <w:color w:val="534AB7"/>
          <w:sz w:val="26"/>
          <w:szCs w:val="26"/>
        </w:rPr>
        <w:t xml:space="preserve">3.3 Retrieval-Augmented Generation for Agricultural Knowledge</w:t>
      </w:r>
    </w:p>
    <w:p>
      <w:pPr>
        <w:spacing w:after="160" w:before="0"/>
        <w:jc w:val="both"/>
      </w:pPr>
      <w:r>
        <w:rPr>
          <w:rFonts w:ascii="Arial" w:cs="Arial" w:eastAsia="Arial" w:hAnsi="Arial"/>
          <w:color w:val="1E293B"/>
          <w:sz w:val="22"/>
          <w:szCs w:val="22"/>
        </w:rPr>
        <w:t xml:space="preserve">RAG has emerged as the primary mechanism for grounding LLM responses in verified agricultural knowledge. The RAG-Based LLM Advisory Framework (Journal of Agricultural Engineering, 2026) evaluates four LLMs on crop advisory using semantic vector retrieval, achieving 93% accuracy on domain Q&amp;A. AgroLLM (arXiv, 2025) demonstrates a domain-governed agricultural knowledge system with a Domain Knowledge Processing Layer (DKPL) that contributes symbolic domain concepts, causal rules, and agronomic thresholds. The overarching finding across RAG papers is that </w:t>
      </w:r>
      <w:r>
        <w:rPr>
          <w:rFonts w:ascii="Arial" w:cs="Arial" w:eastAsia="Arial" w:hAnsi="Arial"/>
          <w:b/>
          <w:bCs/>
          <w:color w:val="1E293B"/>
          <w:sz w:val="22"/>
          <w:szCs w:val="22"/>
        </w:rPr>
        <w:t xml:space="preserve">hallucination rates drop from 20–40% to below 5%</w:t>
      </w:r>
      <w:r>
        <w:rPr>
          <w:rFonts w:ascii="Arial" w:cs="Arial" w:eastAsia="Arial" w:hAnsi="Arial"/>
          <w:color w:val="1E293B"/>
          <w:sz w:val="22"/>
          <w:szCs w:val="22"/>
        </w:rPr>
        <w:t xml:space="preserve"> when LLMs are grounded in verified domain-specific knowledge through retrieval.</w:t>
      </w:r>
    </w:p>
    <w:p>
      <w:pPr>
        <w:pStyle w:val="Heading2"/>
        <w:spacing w:after="120" w:before="240"/>
      </w:pPr>
      <w:r>
        <w:rPr>
          <w:rFonts w:ascii="Arial" w:cs="Arial" w:eastAsia="Arial" w:hAnsi="Arial"/>
          <w:b/>
          <w:bCs/>
          <w:color w:val="534AB7"/>
          <w:sz w:val="26"/>
          <w:szCs w:val="26"/>
        </w:rPr>
        <w:t xml:space="preserve">3.4 Explainable AI in Agriculture</w:t>
      </w:r>
    </w:p>
    <w:p>
      <w:pPr>
        <w:spacing w:after="160" w:before="0"/>
        <w:jc w:val="both"/>
      </w:pPr>
      <w:r>
        <w:rPr>
          <w:rFonts w:ascii="Arial" w:cs="Arial" w:eastAsia="Arial" w:hAnsi="Arial"/>
          <w:color w:val="1E293B"/>
          <w:sz w:val="22"/>
          <w:szCs w:val="22"/>
        </w:rPr>
        <w:t xml:space="preserve">XAI-CROP (Springer NCA, 2024) applies SHAP TreeExplainer to XGBoost crop recommendation models, demonstrating that feature-importance explanations increase farmer trust in AI recommendations. Multiple papers applying Grad-CAM to plant disease CNNs show that saliency maps enable agronomists to verify whether the model attended to the correct lesion region. The consistent finding across XAI literature is that farmers and agronomists require explanation at the point of advisory delivery — not in academic evaluation reports. This gap between XAI-as-research-output and XAI-as-farmer-interface is directly addressed by the proposed system.</w:t>
      </w:r>
    </w:p>
    <w:p>
      <w:pPr>
        <w:pStyle w:val="Heading2"/>
        <w:spacing w:after="120" w:before="240"/>
      </w:pPr>
      <w:r>
        <w:rPr>
          <w:rFonts w:ascii="Arial" w:cs="Arial" w:eastAsia="Arial" w:hAnsi="Arial"/>
          <w:b/>
          <w:bCs/>
          <w:color w:val="534AB7"/>
          <w:sz w:val="26"/>
          <w:szCs w:val="26"/>
        </w:rPr>
        <w:t xml:space="preserve">3.5 Indic Language NLP and Agricultural ASR</w:t>
      </w:r>
    </w:p>
    <w:p>
      <w:pPr>
        <w:spacing w:after="160" w:before="0"/>
        <w:jc w:val="both"/>
      </w:pPr>
      <w:r>
        <w:rPr>
          <w:rFonts w:ascii="Arial" w:cs="Arial" w:eastAsia="Arial" w:hAnsi="Arial"/>
          <w:color w:val="1E293B"/>
          <w:sz w:val="22"/>
          <w:szCs w:val="22"/>
        </w:rPr>
        <w:t xml:space="preserve">The Indic ASR Benchmark (arXiv, 2025) benchmarks Whisper, IndicWav2Vec, and commercial ASR on 10,934 real farm voice recordings from the Farmer.Chat platform, achieving WER of 16.2% for Hindi and 35.1% for Odia. IndicBERT and the Bhashini API provide government-backed NLP and TTS infrastructure for 10+ Indic languages. The critical gap identified is that no system connects these voice capabilities to an agronomic advisory backend with RAG retrieval and TTS response delivery.</w:t>
      </w:r>
    </w:p>
    <w:p>
      <w:r>
        <w:br w:type="page"/>
      </w:r>
    </w:p>
    <w:p>
      <w:pPr>
        <w:pStyle w:val="Heading1"/>
        <w:pBdr>
          <w:bottom w:val="single" w:color="534AB7" w:sz="6" w:space="4"/>
        </w:pBdr>
        <w:spacing w:after="180" w:before="360"/>
      </w:pPr>
      <w:r>
        <w:rPr>
          <w:rFonts w:ascii="Arial" w:cs="Arial" w:eastAsia="Arial" w:hAnsi="Arial"/>
          <w:b/>
          <w:bCs/>
          <w:color w:val="0F2027"/>
          <w:sz w:val="32"/>
          <w:szCs w:val="32"/>
        </w:rPr>
        <w:t xml:space="preserve">4. Research Gap</w:t>
      </w:r>
    </w:p>
    <w:p>
      <w:pPr>
        <w:spacing w:after="160" w:before="0"/>
        <w:jc w:val="both"/>
      </w:pPr>
      <w:r>
        <w:rPr>
          <w:rFonts w:ascii="Arial" w:cs="Arial" w:eastAsia="Arial" w:hAnsi="Arial"/>
          <w:color w:val="1E293B"/>
          <w:sz w:val="22"/>
          <w:szCs w:val="22"/>
        </w:rPr>
        <w:t xml:space="preserve">A systematic analysis of the literature reveals five specific, well-defined gaps that the proposed research addresses. These gaps are not incremental — each represents a structural absence in the current state of the art.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993C1D" w:sz="10"/>
              <w:bottom w:val="single" w:color="CCCCCC" w:sz="1"/>
              <w:right w:val="single" w:color="CCCCCC" w:sz="1"/>
            </w:tcBorders>
            <w:shd w:fill="FAECE7" w:val="clear"/>
            <w:tcMar>
              <w:top w:type="dxa" w:w="120"/>
              <w:left w:type="dxa" w:w="180"/>
              <w:bottom w:type="dxa" w:w="40"/>
              <w:right w:type="dxa" w:w="180"/>
            </w:tcMar>
          </w:tcPr>
          <w:p>
            <w:r>
              <w:rPr>
                <w:rFonts w:ascii="Arial" w:cs="Arial" w:eastAsia="Arial" w:hAnsi="Arial"/>
                <w:b/>
                <w:bCs/>
                <w:color w:val="993C1D"/>
                <w:sz w:val="20"/>
                <w:szCs w:val="20"/>
              </w:rPr>
              <w:t xml:space="preserve">G1 — No Unified Multimodal Advisory Session</w:t>
            </w:r>
          </w:p>
        </w:tc>
      </w:tr>
      <w:tr>
        <w:tc>
          <w:tcPr>
            <w:tcW w:type="dxa" w:w="9360"/>
            <w:tcBorders>
              <w:top w:val="none"/>
              <w:left w:val="single" w:color="993C1D" w:sz="10"/>
              <w:bottom w:val="single" w:color="CCCCCC" w:sz="1"/>
              <w:right w:val="single" w:color="CCCCCC" w:sz="1"/>
            </w:tcBorders>
            <w:shd w:fill="FAECE7" w:val="clear"/>
            <w:tcMar>
              <w:top w:type="dxa" w:w="40"/>
              <w:left w:type="dxa" w:w="200"/>
              <w:bottom w:type="dxa" w:w="40"/>
              <w:right w:type="dxa" w:w="180"/>
            </w:tcMar>
          </w:tcPr>
          <w:p>
            <w:r>
              <w:rPr>
                <w:rFonts w:ascii="Arial" w:cs="Arial" w:eastAsia="Arial" w:hAnsi="Arial"/>
                <w:color w:val="334455"/>
                <w:sz w:val="20"/>
                <w:szCs w:val="20"/>
              </w:rPr>
              <w:t xml:space="preserve">No existing system combines disease diagnosis (image), nutrition advisory (sensor), crop recommendation, weather, and live market data in a single conversational turn.</w:t>
            </w:r>
          </w:p>
        </w:tc>
      </w:tr>
      <w:tr>
        <w:tc>
          <w:tcPr>
            <w:tcW w:type="dxa" w:w="9360"/>
            <w:tcBorders>
              <w:top w:val="none"/>
              <w:left w:val="single" w:color="993C1D" w:sz="10"/>
              <w:bottom w:val="single" w:color="CCCCCC" w:sz="1"/>
              <w:right w:val="single" w:color="CCCCCC" w:sz="1"/>
            </w:tcBorders>
            <w:shd w:fill="FAECE7" w:val="clear"/>
            <w:tcMar>
              <w:top w:type="dxa" w:w="40"/>
              <w:left w:type="dxa" w:w="200"/>
              <w:bottom w:type="dxa" w:w="40"/>
              <w:right w:type="dxa" w:w="180"/>
            </w:tcMar>
          </w:tcPr>
          <w:p>
            <w:r>
              <w:rPr>
                <w:rFonts w:ascii="Arial" w:cs="Arial" w:eastAsia="Arial" w:hAnsi="Arial"/>
                <w:color w:val="334455"/>
                <w:sz w:val="20"/>
                <w:szCs w:val="20"/>
              </w:rPr>
              <w:t xml:space="preserve">Farmer.Chat handles text + KB only. AgriDoctor handles image + disease only. AgriGPT handles text RAG only. The farmer must use multiple disconnected tools.</w:t>
            </w:r>
          </w:p>
        </w:tc>
      </w:tr>
      <w:tr>
        <w:tc>
          <w:tcPr>
            <w:tcW w:type="dxa" w:w="9360"/>
            <w:tcBorders>
              <w:top w:val="none"/>
              <w:left w:val="single" w:color="993C1D" w:sz="10"/>
              <w:bottom w:val="single" w:color="CCCCCC" w:sz="1"/>
              <w:right w:val="single" w:color="CCCCCC" w:sz="1"/>
            </w:tcBorders>
            <w:shd w:fill="FAECE7" w:val="clear"/>
            <w:tcMar>
              <w:top w:type="dxa" w:w="40"/>
              <w:left w:type="dxa" w:w="200"/>
              <w:bottom w:type="dxa" w:w="40"/>
              <w:right w:type="dxa" w:w="180"/>
            </w:tcMar>
          </w:tcPr>
          <w:p>
            <w:r>
              <w:rPr>
                <w:rFonts w:ascii="Arial" w:cs="Arial" w:eastAsia="Arial" w:hAnsi="Arial"/>
                <w:color w:val="334455"/>
                <w:sz w:val="20"/>
                <w:szCs w:val="20"/>
              </w:rPr>
              <w:t xml:space="preserve">Impact: Farmers cannot receive holistic advice that reflects the interdependence of crop health, soil nutrition, and market timing.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854F0B" w:sz="10"/>
              <w:bottom w:val="single" w:color="CCCCCC" w:sz="1"/>
              <w:right w:val="single" w:color="CCCCCC" w:sz="1"/>
            </w:tcBorders>
            <w:shd w:fill="FAEEDA" w:val="clear"/>
            <w:tcMar>
              <w:top w:type="dxa" w:w="120"/>
              <w:left w:type="dxa" w:w="180"/>
              <w:bottom w:type="dxa" w:w="40"/>
              <w:right w:type="dxa" w:w="180"/>
            </w:tcMar>
          </w:tcPr>
          <w:p>
            <w:r>
              <w:rPr>
                <w:rFonts w:ascii="Arial" w:cs="Arial" w:eastAsia="Arial" w:hAnsi="Arial"/>
                <w:b/>
                <w:bCs/>
                <w:color w:val="854F0B"/>
                <w:sz w:val="20"/>
                <w:szCs w:val="20"/>
              </w:rPr>
              <w:t xml:space="preserve">G2 — No Cross-Modal Sensor-Image Nutrition Fusion in a Dialogue</w:t>
            </w:r>
          </w:p>
        </w:tc>
      </w:tr>
      <w:tr>
        <w:tc>
          <w:tcPr>
            <w:tcW w:type="dxa" w:w="9360"/>
            <w:tcBorders>
              <w:top w:val="none"/>
              <w:left w:val="single" w:color="854F0B" w:sz="10"/>
              <w:bottom w:val="single" w:color="CCCCCC" w:sz="1"/>
              <w:right w:val="single" w:color="CCCCCC" w:sz="1"/>
            </w:tcBorders>
            <w:shd w:fill="FAEEDA" w:val="clear"/>
            <w:tcMar>
              <w:top w:type="dxa" w:w="40"/>
              <w:left w:type="dxa" w:w="200"/>
              <w:bottom w:type="dxa" w:w="40"/>
              <w:right w:type="dxa" w:w="180"/>
            </w:tcMar>
          </w:tcPr>
          <w:p>
            <w:r>
              <w:rPr>
                <w:rFonts w:ascii="Arial" w:cs="Arial" w:eastAsia="Arial" w:hAnsi="Arial"/>
                <w:color w:val="334455"/>
                <w:sz w:val="20"/>
                <w:szCs w:val="20"/>
              </w:rPr>
              <w:t xml:space="preserve">Sensor fusion papers achieve offline nutrition inference but no conversational interface wraps leaf image + soil NPK data together.</w:t>
            </w:r>
          </w:p>
        </w:tc>
      </w:tr>
      <w:tr>
        <w:tc>
          <w:tcPr>
            <w:tcW w:type="dxa" w:w="9360"/>
            <w:tcBorders>
              <w:top w:val="none"/>
              <w:left w:val="single" w:color="854F0B" w:sz="10"/>
              <w:bottom w:val="single" w:color="CCCCCC" w:sz="1"/>
              <w:right w:val="single" w:color="CCCCCC" w:sz="1"/>
            </w:tcBorders>
            <w:shd w:fill="FAEEDA" w:val="clear"/>
            <w:tcMar>
              <w:top w:type="dxa" w:w="40"/>
              <w:left w:type="dxa" w:w="200"/>
              <w:bottom w:type="dxa" w:w="40"/>
              <w:right w:type="dxa" w:w="180"/>
            </w:tcMar>
          </w:tcPr>
          <w:p>
            <w:r>
              <w:rPr>
                <w:rFonts w:ascii="Arial" w:cs="Arial" w:eastAsia="Arial" w:hAnsi="Arial"/>
                <w:color w:val="334455"/>
                <w:sz w:val="20"/>
                <w:szCs w:val="20"/>
              </w:rPr>
              <w:t xml:space="preserve">AgriM-LLM advances vision encoding for disease — nutrition deficiency from sensor+image cross-modal fusion is entirely unaddressed in any conversational system.</w:t>
            </w:r>
          </w:p>
        </w:tc>
      </w:tr>
      <w:tr>
        <w:tc>
          <w:tcPr>
            <w:tcW w:type="dxa" w:w="9360"/>
            <w:tcBorders>
              <w:top w:val="none"/>
              <w:left w:val="single" w:color="854F0B" w:sz="10"/>
              <w:bottom w:val="single" w:color="CCCCCC" w:sz="1"/>
              <w:right w:val="single" w:color="CCCCCC" w:sz="1"/>
            </w:tcBorders>
            <w:shd w:fill="FAEEDA" w:val="clear"/>
            <w:tcMar>
              <w:top w:type="dxa" w:w="40"/>
              <w:left w:type="dxa" w:w="200"/>
              <w:bottom w:type="dxa" w:w="40"/>
              <w:right w:type="dxa" w:w="180"/>
            </w:tcMar>
          </w:tcPr>
          <w:p>
            <w:r>
              <w:rPr>
                <w:rFonts w:ascii="Arial" w:cs="Arial" w:eastAsia="Arial" w:hAnsi="Arial"/>
                <w:color w:val="334455"/>
                <w:sz w:val="20"/>
                <w:szCs w:val="20"/>
              </w:rPr>
              <w:t xml:space="preserve">Impact: 230M Soil Health Cards issued but only 14.6% acted upon — no system translates image and sensor data into actionable fertiliser advice in farmer language.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3B6D11" w:sz="10"/>
              <w:bottom w:val="single" w:color="CCCCCC" w:sz="1"/>
              <w:right w:val="single" w:color="CCCCCC" w:sz="1"/>
            </w:tcBorders>
            <w:shd w:fill="EAF3DE" w:val="clear"/>
            <w:tcMar>
              <w:top w:type="dxa" w:w="120"/>
              <w:left w:type="dxa" w:w="180"/>
              <w:bottom w:type="dxa" w:w="40"/>
              <w:right w:type="dxa" w:w="180"/>
            </w:tcMar>
          </w:tcPr>
          <w:p>
            <w:r>
              <w:rPr>
                <w:rFonts w:ascii="Arial" w:cs="Arial" w:eastAsia="Arial" w:hAnsi="Arial"/>
                <w:b/>
                <w:bCs/>
                <w:color w:val="3B6D11"/>
                <w:sz w:val="20"/>
                <w:szCs w:val="20"/>
              </w:rPr>
              <w:t xml:space="preserve">G3 — XAI Never Rendered to the Farmer in Any Deployed System</w:t>
            </w:r>
          </w:p>
        </w:tc>
      </w:tr>
      <w:tr>
        <w:tc>
          <w:tcPr>
            <w:tcW w:type="dxa" w:w="9360"/>
            <w:tcBorders>
              <w:top w:val="none"/>
              <w:left w:val="single" w:color="3B6D11" w:sz="10"/>
              <w:bottom w:val="single" w:color="CCCCCC" w:sz="1"/>
              <w:right w:val="single" w:color="CCCCCC" w:sz="1"/>
            </w:tcBorders>
            <w:shd w:fill="EAF3DE" w:val="clear"/>
            <w:tcMar>
              <w:top w:type="dxa" w:w="40"/>
              <w:left w:type="dxa" w:w="200"/>
              <w:bottom w:type="dxa" w:w="40"/>
              <w:right w:type="dxa" w:w="180"/>
            </w:tcMar>
          </w:tcPr>
          <w:p>
            <w:r>
              <w:rPr>
                <w:rFonts w:ascii="Arial" w:cs="Arial" w:eastAsia="Arial" w:hAnsi="Arial"/>
                <w:color w:val="334455"/>
                <w:sz w:val="20"/>
                <w:szCs w:val="20"/>
              </w:rPr>
              <w:t xml:space="preserve">XAI-CROP (Springer 2024) generates SHAP values as research output. AgriDoctor produces classification scores without attribution. LLMI-CDP logs Grad-CAM internally.</w:t>
            </w:r>
          </w:p>
        </w:tc>
      </w:tr>
      <w:tr>
        <w:tc>
          <w:tcPr>
            <w:tcW w:type="dxa" w:w="9360"/>
            <w:tcBorders>
              <w:top w:val="none"/>
              <w:left w:val="single" w:color="3B6D11" w:sz="10"/>
              <w:bottom w:val="single" w:color="CCCCCC" w:sz="1"/>
              <w:right w:val="single" w:color="CCCCCC" w:sz="1"/>
            </w:tcBorders>
            <w:shd w:fill="EAF3DE" w:val="clear"/>
            <w:tcMar>
              <w:top w:type="dxa" w:w="40"/>
              <w:left w:type="dxa" w:w="200"/>
              <w:bottom w:type="dxa" w:w="40"/>
              <w:right w:type="dxa" w:w="180"/>
            </w:tcMar>
          </w:tcPr>
          <w:p>
            <w:r>
              <w:rPr>
                <w:rFonts w:ascii="Arial" w:cs="Arial" w:eastAsia="Arial" w:hAnsi="Arial"/>
                <w:color w:val="334455"/>
                <w:sz w:val="20"/>
                <w:szCs w:val="20"/>
              </w:rPr>
              <w:t xml:space="preserve">No system renders visual explanations — Grad-CAM overlays, SHAP bar charts — as part of the advisory response in a farmer-accessible UI.</w:t>
            </w:r>
          </w:p>
        </w:tc>
      </w:tr>
      <w:tr>
        <w:tc>
          <w:tcPr>
            <w:tcW w:type="dxa" w:w="9360"/>
            <w:tcBorders>
              <w:top w:val="none"/>
              <w:left w:val="single" w:color="3B6D11" w:sz="10"/>
              <w:bottom w:val="single" w:color="CCCCCC" w:sz="1"/>
              <w:right w:val="single" w:color="CCCCCC" w:sz="1"/>
            </w:tcBorders>
            <w:shd w:fill="EAF3DE" w:val="clear"/>
            <w:tcMar>
              <w:top w:type="dxa" w:w="40"/>
              <w:left w:type="dxa" w:w="200"/>
              <w:bottom w:type="dxa" w:w="40"/>
              <w:right w:type="dxa" w:w="180"/>
            </w:tcMar>
          </w:tcPr>
          <w:p>
            <w:r>
              <w:rPr>
                <w:rFonts w:ascii="Arial" w:cs="Arial" w:eastAsia="Arial" w:hAnsi="Arial"/>
                <w:color w:val="334455"/>
                <w:sz w:val="20"/>
                <w:szCs w:val="20"/>
              </w:rPr>
              <w:t xml:space="preserve">Impact: Farmers reject AI advice they cannot understand. Trust gap is a documented barrier to adoption across all agricultural AI systems.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85FA5" w:sz="10"/>
              <w:bottom w:val="single" w:color="CCCCCC" w:sz="1"/>
              <w:right w:val="single" w:color="CCCCCC" w:sz="1"/>
            </w:tcBorders>
            <w:shd w:fill="E6F1FB" w:val="clear"/>
            <w:tcMar>
              <w:top w:type="dxa" w:w="120"/>
              <w:left w:type="dxa" w:w="180"/>
              <w:bottom w:type="dxa" w:w="40"/>
              <w:right w:type="dxa" w:w="180"/>
            </w:tcMar>
          </w:tcPr>
          <w:p>
            <w:r>
              <w:rPr>
                <w:rFonts w:ascii="Arial" w:cs="Arial" w:eastAsia="Arial" w:hAnsi="Arial"/>
                <w:b/>
                <w:bCs/>
                <w:color w:val="185FA5"/>
                <w:sz w:val="20"/>
                <w:szCs w:val="20"/>
              </w:rPr>
              <w:t xml:space="preserve">G4 — No End-to-End Indic Voice-to-Advisory Pipeline</w:t>
            </w:r>
          </w:p>
        </w:tc>
      </w:tr>
      <w:tr>
        <w:tc>
          <w:tcPr>
            <w:tcW w:type="dxa" w:w="9360"/>
            <w:tcBorders>
              <w:top w:val="none"/>
              <w:left w:val="single" w:color="185FA5" w:sz="10"/>
              <w:bottom w:val="single" w:color="CCCCCC" w:sz="1"/>
              <w:right w:val="single" w:color="CCCCCC" w:sz="1"/>
            </w:tcBorders>
            <w:shd w:fill="E6F1FB" w:val="clear"/>
            <w:tcMar>
              <w:top w:type="dxa" w:w="40"/>
              <w:left w:type="dxa" w:w="200"/>
              <w:bottom w:type="dxa" w:w="40"/>
              <w:right w:type="dxa" w:w="180"/>
            </w:tcMar>
          </w:tcPr>
          <w:p>
            <w:r>
              <w:rPr>
                <w:rFonts w:ascii="Arial" w:cs="Arial" w:eastAsia="Arial" w:hAnsi="Arial"/>
                <w:color w:val="334455"/>
                <w:sz w:val="20"/>
                <w:szCs w:val="20"/>
              </w:rPr>
              <w:t xml:space="preserve">Indic ASR benchmark achieves WER 16.2% for Hindi agricultural speech — the technology exists.</w:t>
            </w:r>
          </w:p>
        </w:tc>
      </w:tr>
      <w:tr>
        <w:tc>
          <w:tcPr>
            <w:tcW w:type="dxa" w:w="9360"/>
            <w:tcBorders>
              <w:top w:val="none"/>
              <w:left w:val="single" w:color="185FA5" w:sz="10"/>
              <w:bottom w:val="single" w:color="CCCCCC" w:sz="1"/>
              <w:right w:val="single" w:color="CCCCCC" w:sz="1"/>
            </w:tcBorders>
            <w:shd w:fill="E6F1FB" w:val="clear"/>
            <w:tcMar>
              <w:top w:type="dxa" w:w="40"/>
              <w:left w:type="dxa" w:w="200"/>
              <w:bottom w:type="dxa" w:w="40"/>
              <w:right w:type="dxa" w:w="180"/>
            </w:tcMar>
          </w:tcPr>
          <w:p>
            <w:r>
              <w:rPr>
                <w:rFonts w:ascii="Arial" w:cs="Arial" w:eastAsia="Arial" w:hAnsi="Arial"/>
                <w:color w:val="334455"/>
                <w:sz w:val="20"/>
                <w:szCs w:val="20"/>
              </w:rPr>
              <w:t xml:space="preserve">No system connects Whisper ASR to a multilingual RAG advisory backend with Bhashini TTS response delivery in a single pipeline.</w:t>
            </w:r>
          </w:p>
        </w:tc>
      </w:tr>
      <w:tr>
        <w:tc>
          <w:tcPr>
            <w:tcW w:type="dxa" w:w="9360"/>
            <w:tcBorders>
              <w:top w:val="none"/>
              <w:left w:val="single" w:color="185FA5" w:sz="10"/>
              <w:bottom w:val="single" w:color="CCCCCC" w:sz="1"/>
              <w:right w:val="single" w:color="CCCCCC" w:sz="1"/>
            </w:tcBorders>
            <w:shd w:fill="E6F1FB" w:val="clear"/>
            <w:tcMar>
              <w:top w:type="dxa" w:w="40"/>
              <w:left w:type="dxa" w:w="200"/>
              <w:bottom w:type="dxa" w:w="40"/>
              <w:right w:type="dxa" w:w="180"/>
            </w:tcMar>
          </w:tcPr>
          <w:p>
            <w:r>
              <w:rPr>
                <w:rFonts w:ascii="Arial" w:cs="Arial" w:eastAsia="Arial" w:hAnsi="Arial"/>
                <w:color w:val="334455"/>
                <w:sz w:val="20"/>
                <w:szCs w:val="20"/>
              </w:rPr>
              <w:t xml:space="preserve">Impact: Low-literacy farmers with no digital text skills are excluded from all existing agricultural AI systems.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0"/>
              <w:bottom w:val="single" w:color="CCCCCC" w:sz="1"/>
              <w:right w:val="single" w:color="CCCCCC" w:sz="1"/>
            </w:tcBorders>
            <w:shd w:fill="EEEDFE" w:val="clear"/>
            <w:tcMar>
              <w:top w:type="dxa" w:w="120"/>
              <w:left w:type="dxa" w:w="180"/>
              <w:bottom w:type="dxa" w:w="40"/>
              <w:right w:type="dxa" w:w="180"/>
            </w:tcMar>
          </w:tcPr>
          <w:p>
            <w:r>
              <w:rPr>
                <w:rFonts w:ascii="Arial" w:cs="Arial" w:eastAsia="Arial" w:hAnsi="Arial"/>
                <w:b/>
                <w:bCs/>
                <w:color w:val="534AB7"/>
                <w:sz w:val="20"/>
                <w:szCs w:val="20"/>
              </w:rPr>
              <w:t xml:space="preserve">G5 — Live Market Price Never Co-Delivered with Agronomic Advice</w:t>
            </w:r>
          </w:p>
        </w:tc>
      </w:tr>
      <w:tr>
        <w:tc>
          <w:tcPr>
            <w:tcW w:type="dxa" w:w="9360"/>
            <w:tcBorders>
              <w:top w:val="none"/>
              <w:left w:val="single" w:color="534AB7" w:sz="10"/>
              <w:bottom w:val="single" w:color="CCCCCC" w:sz="1"/>
              <w:right w:val="single" w:color="CCCCCC" w:sz="1"/>
            </w:tcBorders>
            <w:shd w:fill="EEEDFE" w:val="clear"/>
            <w:tcMar>
              <w:top w:type="dxa" w:w="40"/>
              <w:left w:type="dxa" w:w="200"/>
              <w:bottom w:type="dxa" w:w="40"/>
              <w:right w:type="dxa" w:w="180"/>
            </w:tcMar>
          </w:tcPr>
          <w:p>
            <w:r>
              <w:rPr>
                <w:rFonts w:ascii="Arial" w:cs="Arial" w:eastAsia="Arial" w:hAnsi="Arial"/>
                <w:color w:val="334455"/>
                <w:sz w:val="20"/>
                <w:szCs w:val="20"/>
              </w:rPr>
              <w:t xml:space="preserve">Market agents and agronomic agents exist in completely separate silos across all surveyed literature.</w:t>
            </w:r>
          </w:p>
        </w:tc>
      </w:tr>
      <w:tr>
        <w:tc>
          <w:tcPr>
            <w:tcW w:type="dxa" w:w="9360"/>
            <w:tcBorders>
              <w:top w:val="none"/>
              <w:left w:val="single" w:color="534AB7" w:sz="10"/>
              <w:bottom w:val="single" w:color="CCCCCC" w:sz="1"/>
              <w:right w:val="single" w:color="CCCCCC" w:sz="1"/>
            </w:tcBorders>
            <w:shd w:fill="EEEDFE" w:val="clear"/>
            <w:tcMar>
              <w:top w:type="dxa" w:w="40"/>
              <w:left w:type="dxa" w:w="200"/>
              <w:bottom w:type="dxa" w:w="40"/>
              <w:right w:type="dxa" w:w="180"/>
            </w:tcMar>
          </w:tcPr>
          <w:p>
            <w:r>
              <w:rPr>
                <w:rFonts w:ascii="Arial" w:cs="Arial" w:eastAsia="Arial" w:hAnsi="Arial"/>
                <w:color w:val="334455"/>
                <w:sz w:val="20"/>
                <w:szCs w:val="20"/>
              </w:rPr>
              <w:t xml:space="preserve">No prior system answers 'my crop has early blight — should I spray and sell now, or hold?' in a single conversational response.</w:t>
            </w:r>
          </w:p>
        </w:tc>
      </w:tr>
      <w:tr>
        <w:tc>
          <w:tcPr>
            <w:tcW w:type="dxa" w:w="9360"/>
            <w:tcBorders>
              <w:top w:val="none"/>
              <w:left w:val="single" w:color="534AB7" w:sz="10"/>
              <w:bottom w:val="single" w:color="CCCCCC" w:sz="1"/>
              <w:right w:val="single" w:color="CCCCCC" w:sz="1"/>
            </w:tcBorders>
            <w:shd w:fill="EEEDFE" w:val="clear"/>
            <w:tcMar>
              <w:top w:type="dxa" w:w="40"/>
              <w:left w:type="dxa" w:w="200"/>
              <w:bottom w:type="dxa" w:w="40"/>
              <w:right w:type="dxa" w:w="180"/>
            </w:tcMar>
          </w:tcPr>
          <w:p>
            <w:r>
              <w:rPr>
                <w:rFonts w:ascii="Arial" w:cs="Arial" w:eastAsia="Arial" w:hAnsi="Arial"/>
                <w:color w:val="334455"/>
                <w:sz w:val="20"/>
                <w:szCs w:val="20"/>
              </w:rPr>
              <w:t xml:space="preserve">Impact: Market price asymmetry causes 30-40% below-optimal selling. Agronomic and market decisions are inherently interdependent but no system treats them as such.</w:t>
            </w:r>
          </w:p>
        </w:tc>
      </w:tr>
    </w:tbl>
    <w:p>
      <w:pPr>
        <w:spacing w:after="80" w:before="0"/>
      </w:pPr>
      <w:r>
        <w:t xml:space="preserve"/>
      </w:r>
    </w:p>
    <w:p>
      <w:pPr>
        <w:spacing w:after="80" w:before="0"/>
        <w:jc w:val="center"/>
      </w:pPr>
      <w:r>
        <w:rPr>
          <w:rFonts w:ascii="Arial" w:cs="Arial" w:eastAsia="Arial" w:hAnsi="Arial"/>
          <w:b/>
          <w:bCs/>
          <w:color w:val="0F2027"/>
          <w:sz w:val="22"/>
          <w:szCs w:val="22"/>
        </w:rPr>
        <w:t xml:space="preserve">Table 2: Research gap mapping — prior work vs proposed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700"/>
        <w:gridCol w:w="3240"/>
        <w:gridCol w:w="2700"/>
      </w:tblGrid>
      <w:tr>
        <w:trPr>
          <w:tblHeader/>
        </w:trPr>
        <w:tc>
          <w:tcPr>
            <w:tcW w:type="dxa" w:w="720"/>
            <w:tcBorders>
              <w:top w:val="single" w:color="CCCCCC" w:sz="1"/>
              <w:left w:val="single" w:color="CCCCCC" w:sz="1"/>
              <w:bottom w:val="single" w:color="CCCCCC" w:sz="1"/>
              <w:right w:val="single" w:color="CCCCCC" w:sz="1"/>
            </w:tcBorders>
            <w:shd w:fill="534AB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Gap</w:t>
            </w:r>
          </w:p>
        </w:tc>
        <w:tc>
          <w:tcPr>
            <w:tcW w:type="dxa" w:w="2700"/>
            <w:tcBorders>
              <w:top w:val="single" w:color="CCCCCC" w:sz="1"/>
              <w:left w:val="single" w:color="CCCCCC" w:sz="1"/>
              <w:bottom w:val="single" w:color="CCCCCC" w:sz="1"/>
              <w:right w:val="single" w:color="CCCCCC" w:sz="1"/>
            </w:tcBorders>
            <w:shd w:fill="0F202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What prior work does</w:t>
            </w:r>
          </w:p>
        </w:tc>
        <w:tc>
          <w:tcPr>
            <w:tcW w:type="dxa" w:w="3240"/>
            <w:tcBorders>
              <w:top w:val="single" w:color="CCCCCC" w:sz="1"/>
              <w:left w:val="single" w:color="CCCCCC" w:sz="1"/>
              <w:bottom w:val="single" w:color="CCCCCC" w:sz="1"/>
              <w:right w:val="single" w:color="CCCCCC" w:sz="1"/>
            </w:tcBorders>
            <w:shd w:fill="0F202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What is missing</w:t>
            </w:r>
          </w:p>
        </w:tc>
        <w:tc>
          <w:tcPr>
            <w:tcW w:type="dxa" w:w="2700"/>
            <w:tcBorders>
              <w:top w:val="single" w:color="CCCCCC" w:sz="1"/>
              <w:left w:val="single" w:color="CCCCCC" w:sz="1"/>
              <w:bottom w:val="single" w:color="CCCCCC" w:sz="1"/>
              <w:right w:val="single" w:color="CCCCCC" w:sz="1"/>
            </w:tcBorders>
            <w:shd w:fill="0F202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Research objective</w:t>
            </w:r>
          </w:p>
        </w:tc>
      </w:tr>
      <w:tr>
        <w:tc>
          <w:tcPr>
            <w:tcW w:type="dxa" w:w="72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pPr>
              <w:jc w:val="center"/>
            </w:pPr>
            <w:r>
              <w:rPr>
                <w:rFonts w:ascii="Arial" w:cs="Arial" w:eastAsia="Arial" w:hAnsi="Arial"/>
                <w:b/>
                <w:bCs/>
                <w:color w:val="534AB7"/>
                <w:sz w:val="18"/>
                <w:szCs w:val="18"/>
              </w:rPr>
              <w:t xml:space="preserve">G1</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Farmer.Chat (text), AgriDoctor (disease)</w:t>
            </w:r>
          </w:p>
        </w:tc>
        <w:tc>
          <w:tcPr>
            <w:tcW w:type="dxa" w:w="3240"/>
            <w:tcBorders>
              <w:top w:val="single" w:color="CCCCCC" w:sz="1"/>
              <w:left w:val="single" w:color="CCCCCC" w:sz="1"/>
              <w:bottom w:val="single" w:color="CCCCCC" w:sz="1"/>
              <w:right w:val="single" w:color="CCCCCC" w:sz="1"/>
            </w:tcBorders>
            <w:shd w:fill="FAECE7"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No unified multi-domain advisory in one session</w:t>
            </w:r>
          </w:p>
        </w:tc>
        <w:tc>
          <w:tcPr>
            <w:tcW w:type="dxa" w:w="2700"/>
            <w:tcBorders>
              <w:top w:val="single" w:color="CCCCCC" w:sz="1"/>
              <w:left w:val="single" w:color="CCCCCC" w:sz="1"/>
              <w:bottom w:val="single" w:color="CCCCCC" w:sz="1"/>
              <w:right w:val="single" w:color="CCCCCC" w:sz="1"/>
            </w:tcBorders>
            <w:shd w:fill="EAF3DE"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O1 — Orchestrator</w:t>
            </w:r>
          </w:p>
        </w:tc>
      </w:tr>
      <w:tr>
        <w:tc>
          <w:tcPr>
            <w:tcW w:type="dxa" w:w="72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pPr>
              <w:jc w:val="center"/>
            </w:pPr>
            <w:r>
              <w:rPr>
                <w:rFonts w:ascii="Arial" w:cs="Arial" w:eastAsia="Arial" w:hAnsi="Arial"/>
                <w:b/>
                <w:bCs/>
                <w:color w:val="534AB7"/>
                <w:sz w:val="18"/>
                <w:szCs w:val="18"/>
              </w:rPr>
              <w:t xml:space="preserve">G2</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Sensor papers (offline), VLMs (image-only)</w:t>
            </w:r>
          </w:p>
        </w:tc>
        <w:tc>
          <w:tcPr>
            <w:tcW w:type="dxa" w:w="3240"/>
            <w:tcBorders>
              <w:top w:val="single" w:color="CCCCCC" w:sz="1"/>
              <w:left w:val="single" w:color="CCCCCC" w:sz="1"/>
              <w:bottom w:val="single" w:color="CCCCCC" w:sz="1"/>
              <w:right w:val="single" w:color="CCCCCC" w:sz="1"/>
            </w:tcBorders>
            <w:shd w:fill="FAECE7"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No cross-modal sensor+image nutrition fusion in dialogue</w:t>
            </w:r>
          </w:p>
        </w:tc>
        <w:tc>
          <w:tcPr>
            <w:tcW w:type="dxa" w:w="2700"/>
            <w:tcBorders>
              <w:top w:val="single" w:color="CCCCCC" w:sz="1"/>
              <w:left w:val="single" w:color="CCCCCC" w:sz="1"/>
              <w:bottom w:val="single" w:color="CCCCCC" w:sz="1"/>
              <w:right w:val="single" w:color="CCCCCC" w:sz="1"/>
            </w:tcBorders>
            <w:shd w:fill="EAF3DE"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O3 — Nutrition agent</w:t>
            </w:r>
          </w:p>
        </w:tc>
      </w:tr>
      <w:tr>
        <w:tc>
          <w:tcPr>
            <w:tcW w:type="dxa" w:w="72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pPr>
              <w:jc w:val="center"/>
            </w:pPr>
            <w:r>
              <w:rPr>
                <w:rFonts w:ascii="Arial" w:cs="Arial" w:eastAsia="Arial" w:hAnsi="Arial"/>
                <w:b/>
                <w:bCs/>
                <w:color w:val="534AB7"/>
                <w:sz w:val="18"/>
                <w:szCs w:val="18"/>
              </w:rPr>
              <w:t xml:space="preserve">G3</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XAI-CROP (SHAP internal), LLMI-CDP (Grad-CAM internal)</w:t>
            </w:r>
          </w:p>
        </w:tc>
        <w:tc>
          <w:tcPr>
            <w:tcW w:type="dxa" w:w="3240"/>
            <w:tcBorders>
              <w:top w:val="single" w:color="CCCCCC" w:sz="1"/>
              <w:left w:val="single" w:color="CCCCCC" w:sz="1"/>
              <w:bottom w:val="single" w:color="CCCCCC" w:sz="1"/>
              <w:right w:val="single" w:color="CCCCCC" w:sz="1"/>
            </w:tcBorders>
            <w:shd w:fill="FAECE7"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XAI never shown to farmer in any advisory response</w:t>
            </w:r>
          </w:p>
        </w:tc>
        <w:tc>
          <w:tcPr>
            <w:tcW w:type="dxa" w:w="2700"/>
            <w:tcBorders>
              <w:top w:val="single" w:color="CCCCCC" w:sz="1"/>
              <w:left w:val="single" w:color="CCCCCC" w:sz="1"/>
              <w:bottom w:val="single" w:color="CCCCCC" w:sz="1"/>
              <w:right w:val="single" w:color="CCCCCC" w:sz="1"/>
            </w:tcBorders>
            <w:shd w:fill="EAF3DE"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O5 — Farmer XAI</w:t>
            </w:r>
          </w:p>
        </w:tc>
      </w:tr>
      <w:tr>
        <w:tc>
          <w:tcPr>
            <w:tcW w:type="dxa" w:w="72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pPr>
              <w:jc w:val="center"/>
            </w:pPr>
            <w:r>
              <w:rPr>
                <w:rFonts w:ascii="Arial" w:cs="Arial" w:eastAsia="Arial" w:hAnsi="Arial"/>
                <w:b/>
                <w:bCs/>
                <w:color w:val="534AB7"/>
                <w:sz w:val="18"/>
                <w:szCs w:val="18"/>
              </w:rPr>
              <w:t xml:space="preserve">G4</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Indic ASR benchmark (16.2% WER Hindi)</w:t>
            </w:r>
          </w:p>
        </w:tc>
        <w:tc>
          <w:tcPr>
            <w:tcW w:type="dxa" w:w="3240"/>
            <w:tcBorders>
              <w:top w:val="single" w:color="CCCCCC" w:sz="1"/>
              <w:left w:val="single" w:color="CCCCCC" w:sz="1"/>
              <w:bottom w:val="single" w:color="CCCCCC" w:sz="1"/>
              <w:right w:val="single" w:color="CCCCCC" w:sz="1"/>
            </w:tcBorders>
            <w:shd w:fill="FAECE7"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No ASR connected to RAG advisory backend + TTS</w:t>
            </w:r>
          </w:p>
        </w:tc>
        <w:tc>
          <w:tcPr>
            <w:tcW w:type="dxa" w:w="2700"/>
            <w:tcBorders>
              <w:top w:val="single" w:color="CCCCCC" w:sz="1"/>
              <w:left w:val="single" w:color="CCCCCC" w:sz="1"/>
              <w:bottom w:val="single" w:color="CCCCCC" w:sz="1"/>
              <w:right w:val="single" w:color="CCCCCC" w:sz="1"/>
            </w:tcBorders>
            <w:shd w:fill="EAF3DE"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O6 — Voice pipeline</w:t>
            </w:r>
          </w:p>
        </w:tc>
      </w:tr>
      <w:tr>
        <w:tc>
          <w:tcPr>
            <w:tcW w:type="dxa" w:w="72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pPr>
              <w:jc w:val="center"/>
            </w:pPr>
            <w:r>
              <w:rPr>
                <w:rFonts w:ascii="Arial" w:cs="Arial" w:eastAsia="Arial" w:hAnsi="Arial"/>
                <w:b/>
                <w:bCs/>
                <w:color w:val="534AB7"/>
                <w:sz w:val="18"/>
                <w:szCs w:val="18"/>
              </w:rPr>
              <w:t xml:space="preserve">G5</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Agmarknet, eNAM (standalone), AgroLLM (text)</w:t>
            </w:r>
          </w:p>
        </w:tc>
        <w:tc>
          <w:tcPr>
            <w:tcW w:type="dxa" w:w="3240"/>
            <w:tcBorders>
              <w:top w:val="single" w:color="CCCCCC" w:sz="1"/>
              <w:left w:val="single" w:color="CCCCCC" w:sz="1"/>
              <w:bottom w:val="single" w:color="CCCCCC" w:sz="1"/>
              <w:right w:val="single" w:color="CCCCCC" w:sz="1"/>
            </w:tcBorders>
            <w:shd w:fill="FAECE7"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Market never co-delivered with agronomic advice</w:t>
            </w:r>
          </w:p>
        </w:tc>
        <w:tc>
          <w:tcPr>
            <w:tcW w:type="dxa" w:w="2700"/>
            <w:tcBorders>
              <w:top w:val="single" w:color="CCCCCC" w:sz="1"/>
              <w:left w:val="single" w:color="CCCCCC" w:sz="1"/>
              <w:bottom w:val="single" w:color="CCCCCC" w:sz="1"/>
              <w:right w:val="single" w:color="CCCCCC" w:sz="1"/>
            </w:tcBorders>
            <w:shd w:fill="EAF3DE"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O7 — Market agent</w:t>
            </w:r>
          </w:p>
        </w:tc>
      </w:tr>
    </w:tbl>
    <w:p>
      <w:pPr>
        <w:spacing w:after="200" w:before="60"/>
        <w:jc w:val="center"/>
      </w:pPr>
      <w:r>
        <w:rPr>
          <w:rFonts w:ascii="Arial" w:cs="Arial" w:eastAsia="Arial" w:hAnsi="Arial"/>
          <w:color w:val="64748B"/>
          <w:sz w:val="18"/>
          <w:szCs w:val="18"/>
        </w:rPr>
        <w:t xml:space="preserve">Table 2: Systematic mapping of five research gaps to prior work limitations and proposed research objectives.</w:t>
      </w:r>
    </w:p>
    <w:p>
      <w:r>
        <w:br w:type="page"/>
      </w:r>
    </w:p>
    <w:p>
      <w:pPr>
        <w:pStyle w:val="Heading1"/>
        <w:pBdr>
          <w:bottom w:val="single" w:color="534AB7" w:sz="6" w:space="4"/>
        </w:pBdr>
        <w:spacing w:after="180" w:before="360"/>
      </w:pPr>
      <w:r>
        <w:rPr>
          <w:rFonts w:ascii="Arial" w:cs="Arial" w:eastAsia="Arial" w:hAnsi="Arial"/>
          <w:b/>
          <w:bCs/>
          <w:color w:val="0F2027"/>
          <w:sz w:val="32"/>
          <w:szCs w:val="32"/>
        </w:rPr>
        <w:t xml:space="preserve">5. Research Objectives</w:t>
      </w:r>
    </w:p>
    <w:p>
      <w:pPr>
        <w:spacing w:after="160" w:before="0"/>
        <w:jc w:val="both"/>
      </w:pPr>
      <w:r>
        <w:rPr>
          <w:rFonts w:ascii="Arial" w:cs="Arial" w:eastAsia="Arial" w:hAnsi="Arial"/>
          <w:color w:val="1E293B"/>
          <w:sz w:val="22"/>
          <w:szCs w:val="22"/>
        </w:rPr>
        <w:t xml:space="preserve">The primary objective of this research is to design, develop, and evaluate a </w:t>
      </w:r>
      <w:r>
        <w:rPr>
          <w:rFonts w:ascii="Arial" w:cs="Arial" w:eastAsia="Arial" w:hAnsi="Arial"/>
          <w:b/>
          <w:bCs/>
          <w:color w:val="1E293B"/>
          <w:sz w:val="22"/>
          <w:szCs w:val="22"/>
        </w:rPr>
        <w:t xml:space="preserve">next-generation multi-agent, multi-model agricultural expert system</w:t>
      </w:r>
      <w:r>
        <w:rPr>
          <w:rFonts w:ascii="Arial" w:cs="Arial" w:eastAsia="Arial" w:hAnsi="Arial"/>
          <w:color w:val="1E293B"/>
          <w:sz w:val="22"/>
          <w:szCs w:val="22"/>
        </w:rPr>
        <w:t xml:space="preserve"> for Indian smallholder farmers. Eight specific objectives are defined, each closing one or more of the five identified research gaps.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160"/>
        <w:gridCol w:w="4500"/>
        <w:gridCol w:w="2160"/>
      </w:tblGrid>
      <w:tr>
        <w:trPr>
          <w:tblHeader/>
        </w:trPr>
        <w:tc>
          <w:tcPr>
            <w:tcW w:type="dxa" w:w="540"/>
            <w:tcBorders>
              <w:top w:val="single" w:color="CCCCCC" w:sz="1"/>
              <w:left w:val="single" w:color="CCCCCC" w:sz="1"/>
              <w:bottom w:val="single" w:color="CCCCCC" w:sz="1"/>
              <w:right w:val="single" w:color="CCCCCC" w:sz="1"/>
            </w:tcBorders>
            <w:shd w:fill="534AB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No.</w:t>
            </w:r>
          </w:p>
        </w:tc>
        <w:tc>
          <w:tcPr>
            <w:tcW w:type="dxa" w:w="2160"/>
            <w:tcBorders>
              <w:top w:val="single" w:color="CCCCCC" w:sz="1"/>
              <w:left w:val="single" w:color="CCCCCC" w:sz="1"/>
              <w:bottom w:val="single" w:color="CCCCCC" w:sz="1"/>
              <w:right w:val="single" w:color="CCCCCC" w:sz="1"/>
            </w:tcBorders>
            <w:shd w:fill="534AB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Objective</w:t>
            </w:r>
          </w:p>
        </w:tc>
        <w:tc>
          <w:tcPr>
            <w:tcW w:type="dxa" w:w="4500"/>
            <w:tcBorders>
              <w:top w:val="single" w:color="CCCCCC" w:sz="1"/>
              <w:left w:val="single" w:color="CCCCCC" w:sz="1"/>
              <w:bottom w:val="single" w:color="CCCCCC" w:sz="1"/>
              <w:right w:val="single" w:color="CCCCCC" w:sz="1"/>
            </w:tcBorders>
            <w:shd w:fill="534AB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Description</w:t>
            </w:r>
          </w:p>
        </w:tc>
        <w:tc>
          <w:tcPr>
            <w:tcW w:type="dxa" w:w="2160"/>
            <w:tcBorders>
              <w:top w:val="single" w:color="CCCCCC" w:sz="1"/>
              <w:left w:val="single" w:color="CCCCCC" w:sz="1"/>
              <w:bottom w:val="single" w:color="CCCCCC" w:sz="1"/>
              <w:right w:val="single" w:color="CCCCCC" w:sz="1"/>
            </w:tcBorders>
            <w:shd w:fill="534AB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Target metric</w:t>
            </w:r>
          </w:p>
        </w:tc>
      </w:tr>
      <w:tr>
        <w:tc>
          <w:tcPr>
            <w:tcW w:type="dxa" w:w="54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pPr>
              <w:jc w:val="center"/>
            </w:pPr>
            <w:r>
              <w:rPr>
                <w:rFonts w:ascii="Arial" w:cs="Arial" w:eastAsia="Arial" w:hAnsi="Arial"/>
                <w:b/>
                <w:bCs/>
                <w:color w:val="534AB7"/>
                <w:sz w:val="18"/>
                <w:szCs w:val="18"/>
              </w:rPr>
              <w:t xml:space="preserve">O1</w:t>
            </w:r>
          </w:p>
        </w:tc>
        <w:tc>
          <w:tcPr>
            <w:tcW w:type="dxa" w:w="216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pPr>
              <w:jc w:val="center"/>
            </w:pPr>
            <w:r>
              <w:rPr>
                <w:rFonts w:ascii="Arial" w:cs="Arial" w:eastAsia="Arial" w:hAnsi="Arial"/>
                <w:b/>
                <w:bCs/>
                <w:color w:val="0F6E56"/>
                <w:sz w:val="18"/>
                <w:szCs w:val="18"/>
              </w:rPr>
              <w:t xml:space="preserve">Multi-agent orchestrator</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Design a LangGraph-based intent router that classifies farmer queries and dispatches to specialist agents in parallel with Redis multi-turn memory</w:t>
            </w:r>
          </w:p>
        </w:tc>
        <w:tc>
          <w:tcPr>
            <w:tcW w:type="dxa" w:w="2160"/>
            <w:tcBorders>
              <w:top w:val="single" w:color="CCCCCC" w:sz="1"/>
              <w:left w:val="single" w:color="CCCCCC" w:sz="1"/>
              <w:bottom w:val="single" w:color="CCCCCC" w:sz="1"/>
              <w:right w:val="single" w:color="CCCCCC" w:sz="1"/>
            </w:tcBorders>
            <w:shd w:fill="EAF3DE"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Latency &lt;4s · dispatch accuracy &gt;95%</w:t>
            </w:r>
          </w:p>
        </w:tc>
      </w:tr>
      <w:tr>
        <w:tc>
          <w:tcPr>
            <w:tcW w:type="dxa" w:w="54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pPr>
              <w:jc w:val="center"/>
            </w:pPr>
            <w:r>
              <w:rPr>
                <w:rFonts w:ascii="Arial" w:cs="Arial" w:eastAsia="Arial" w:hAnsi="Arial"/>
                <w:b/>
                <w:bCs/>
                <w:color w:val="534AB7"/>
                <w:sz w:val="18"/>
                <w:szCs w:val="18"/>
              </w:rPr>
              <w:t xml:space="preserve">O2</w:t>
            </w:r>
          </w:p>
        </w:tc>
        <w:tc>
          <w:tcPr>
            <w:tcW w:type="dxa" w:w="216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pPr>
              <w:jc w:val="center"/>
            </w:pPr>
            <w:r>
              <w:rPr>
                <w:rFonts w:ascii="Arial" w:cs="Arial" w:eastAsia="Arial" w:hAnsi="Arial"/>
                <w:b/>
                <w:bCs/>
                <w:color w:val="0F6E56"/>
                <w:sz w:val="18"/>
                <w:szCs w:val="18"/>
              </w:rPr>
              <w:t xml:space="preserve">Disease diagnostic agent</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Fine-tune ViT-L/16 with LoRA on PlantVillage, PlantDoc, and IP102 with AgriChain CoT reasoning and Grad-CAM saliency</w:t>
            </w:r>
          </w:p>
        </w:tc>
        <w:tc>
          <w:tcPr>
            <w:tcW w:type="dxa" w:w="2160"/>
            <w:tcBorders>
              <w:top w:val="single" w:color="CCCCCC" w:sz="1"/>
              <w:left w:val="single" w:color="CCCCCC" w:sz="1"/>
              <w:bottom w:val="single" w:color="CCCCCC" w:sz="1"/>
              <w:right w:val="single" w:color="CCCCCC" w:sz="1"/>
            </w:tcBorders>
            <w:shd w:fill="EAF3DE"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&gt;90% top-1 acc · 200+ diseases</w:t>
            </w:r>
          </w:p>
        </w:tc>
      </w:tr>
      <w:tr>
        <w:tc>
          <w:tcPr>
            <w:tcW w:type="dxa" w:w="54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pPr>
              <w:jc w:val="center"/>
            </w:pPr>
            <w:r>
              <w:rPr>
                <w:rFonts w:ascii="Arial" w:cs="Arial" w:eastAsia="Arial" w:hAnsi="Arial"/>
                <w:b/>
                <w:bCs/>
                <w:color w:val="534AB7"/>
                <w:sz w:val="18"/>
                <w:szCs w:val="18"/>
              </w:rPr>
              <w:t xml:space="preserve">O3</w:t>
            </w:r>
          </w:p>
        </w:tc>
        <w:tc>
          <w:tcPr>
            <w:tcW w:type="dxa" w:w="216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pPr>
              <w:jc w:val="center"/>
            </w:pPr>
            <w:r>
              <w:rPr>
                <w:rFonts w:ascii="Arial" w:cs="Arial" w:eastAsia="Arial" w:hAnsi="Arial"/>
                <w:b/>
                <w:bCs/>
                <w:color w:val="0F6E56"/>
                <w:sz w:val="18"/>
                <w:szCs w:val="18"/>
              </w:rPr>
              <w:t xml:space="preserve">Nutrition deficiency agent</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Cross-modal MLP fusing ResNet-50 leaf features with soil NPK/pH/EC sensor readings for ICAR-aligned fertiliser dose</w:t>
            </w:r>
          </w:p>
        </w:tc>
        <w:tc>
          <w:tcPr>
            <w:tcW w:type="dxa" w:w="2160"/>
            <w:tcBorders>
              <w:top w:val="single" w:color="CCCCCC" w:sz="1"/>
              <w:left w:val="single" w:color="CCCCCC" w:sz="1"/>
              <w:bottom w:val="single" w:color="CCCCCC" w:sz="1"/>
              <w:right w:val="single" w:color="CCCCCC" w:sz="1"/>
            </w:tcBorders>
            <w:shd w:fill="EAF3DE"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RMSE &lt;5 kg/ha · F1 &gt;0.85</w:t>
            </w:r>
          </w:p>
        </w:tc>
      </w:tr>
      <w:tr>
        <w:tc>
          <w:tcPr>
            <w:tcW w:type="dxa" w:w="54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pPr>
              <w:jc w:val="center"/>
            </w:pPr>
            <w:r>
              <w:rPr>
                <w:rFonts w:ascii="Arial" w:cs="Arial" w:eastAsia="Arial" w:hAnsi="Arial"/>
                <w:b/>
                <w:bCs/>
                <w:color w:val="534AB7"/>
                <w:sz w:val="18"/>
                <w:szCs w:val="18"/>
              </w:rPr>
              <w:t xml:space="preserve">O4</w:t>
            </w:r>
          </w:p>
        </w:tc>
        <w:tc>
          <w:tcPr>
            <w:tcW w:type="dxa" w:w="216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pPr>
              <w:jc w:val="center"/>
            </w:pPr>
            <w:r>
              <w:rPr>
                <w:rFonts w:ascii="Arial" w:cs="Arial" w:eastAsia="Arial" w:hAnsi="Arial"/>
                <w:b/>
                <w:bCs/>
                <w:color w:val="0F6E56"/>
                <w:sz w:val="18"/>
                <w:szCs w:val="18"/>
              </w:rPr>
              <w:t xml:space="preserve">RAG knowledge layer</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250k+ ICAR/FAO/CGIAR chunks in Qdrant with hybrid BM25+dense, cross-encoder rerank, HyDE, and Qwen3 LLM-as-judge</w:t>
            </w:r>
          </w:p>
        </w:tc>
        <w:tc>
          <w:tcPr>
            <w:tcW w:type="dxa" w:w="2160"/>
            <w:tcBorders>
              <w:top w:val="single" w:color="CCCCCC" w:sz="1"/>
              <w:left w:val="single" w:color="CCCCCC" w:sz="1"/>
              <w:bottom w:val="single" w:color="CCCCCC" w:sz="1"/>
              <w:right w:val="single" w:color="CCCCCC" w:sz="1"/>
            </w:tcBorders>
            <w:shd w:fill="EAF3DE"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Faithfulness &gt;0.88 · hallucination &lt;5%</w:t>
            </w:r>
          </w:p>
        </w:tc>
      </w:tr>
      <w:tr>
        <w:tc>
          <w:tcPr>
            <w:tcW w:type="dxa" w:w="54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pPr>
              <w:jc w:val="center"/>
            </w:pPr>
            <w:r>
              <w:rPr>
                <w:rFonts w:ascii="Arial" w:cs="Arial" w:eastAsia="Arial" w:hAnsi="Arial"/>
                <w:b/>
                <w:bCs/>
                <w:color w:val="534AB7"/>
                <w:sz w:val="18"/>
                <w:szCs w:val="18"/>
              </w:rPr>
              <w:t xml:space="preserve">O5</w:t>
            </w:r>
          </w:p>
        </w:tc>
        <w:tc>
          <w:tcPr>
            <w:tcW w:type="dxa" w:w="216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pPr>
              <w:jc w:val="center"/>
            </w:pPr>
            <w:r>
              <w:rPr>
                <w:rFonts w:ascii="Arial" w:cs="Arial" w:eastAsia="Arial" w:hAnsi="Arial"/>
                <w:b/>
                <w:bCs/>
                <w:color w:val="0F6E56"/>
                <w:sz w:val="18"/>
                <w:szCs w:val="18"/>
              </w:rPr>
              <w:t xml:space="preserve">Farmer-facing XAI</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Render Grad-CAM overlays on disease images and SHAP bar charts for crop rec directly in React PWA advisory response</w:t>
            </w:r>
          </w:p>
        </w:tc>
        <w:tc>
          <w:tcPr>
            <w:tcW w:type="dxa" w:w="2160"/>
            <w:tcBorders>
              <w:top w:val="single" w:color="CCCCCC" w:sz="1"/>
              <w:left w:val="single" w:color="CCCCCC" w:sz="1"/>
              <w:bottom w:val="single" w:color="CCCCCC" w:sz="1"/>
              <w:right w:val="single" w:color="CCCCCC" w:sz="1"/>
            </w:tcBorders>
            <w:shd w:fill="EAF3DE"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Grad-CAM IoU &gt;0.75</w:t>
            </w:r>
          </w:p>
        </w:tc>
      </w:tr>
      <w:tr>
        <w:tc>
          <w:tcPr>
            <w:tcW w:type="dxa" w:w="54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pPr>
              <w:jc w:val="center"/>
            </w:pPr>
            <w:r>
              <w:rPr>
                <w:rFonts w:ascii="Arial" w:cs="Arial" w:eastAsia="Arial" w:hAnsi="Arial"/>
                <w:b/>
                <w:bCs/>
                <w:color w:val="534AB7"/>
                <w:sz w:val="18"/>
                <w:szCs w:val="18"/>
              </w:rPr>
              <w:t xml:space="preserve">O6</w:t>
            </w:r>
          </w:p>
        </w:tc>
        <w:tc>
          <w:tcPr>
            <w:tcW w:type="dxa" w:w="216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pPr>
              <w:jc w:val="center"/>
            </w:pPr>
            <w:r>
              <w:rPr>
                <w:rFonts w:ascii="Arial" w:cs="Arial" w:eastAsia="Arial" w:hAnsi="Arial"/>
                <w:b/>
                <w:bCs/>
                <w:color w:val="0F6E56"/>
                <w:sz w:val="18"/>
                <w:szCs w:val="18"/>
              </w:rPr>
              <w:t xml:space="preserve">Indic voice pipeline</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Whisper large-v3 (Indic fine-tuned) ASR + Bhashini TTS supporting 10 Indic languages in end-to-end voice advisory</w:t>
            </w:r>
          </w:p>
        </w:tc>
        <w:tc>
          <w:tcPr>
            <w:tcW w:type="dxa" w:w="2160"/>
            <w:tcBorders>
              <w:top w:val="single" w:color="CCCCCC" w:sz="1"/>
              <w:left w:val="single" w:color="CCCCCC" w:sz="1"/>
              <w:bottom w:val="single" w:color="CCCCCC" w:sz="1"/>
              <w:right w:val="single" w:color="CCCCCC" w:sz="1"/>
            </w:tcBorders>
            <w:shd w:fill="EAF3DE"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WER &lt;20% Hindi · &lt;30% regional</w:t>
            </w:r>
          </w:p>
        </w:tc>
      </w:tr>
      <w:tr>
        <w:tc>
          <w:tcPr>
            <w:tcW w:type="dxa" w:w="54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pPr>
              <w:jc w:val="center"/>
            </w:pPr>
            <w:r>
              <w:rPr>
                <w:rFonts w:ascii="Arial" w:cs="Arial" w:eastAsia="Arial" w:hAnsi="Arial"/>
                <w:b/>
                <w:bCs/>
                <w:color w:val="534AB7"/>
                <w:sz w:val="18"/>
                <w:szCs w:val="18"/>
              </w:rPr>
              <w:t xml:space="preserve">O7</w:t>
            </w:r>
          </w:p>
        </w:tc>
        <w:tc>
          <w:tcPr>
            <w:tcW w:type="dxa" w:w="216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pPr>
              <w:jc w:val="center"/>
            </w:pPr>
            <w:r>
              <w:rPr>
                <w:rFonts w:ascii="Arial" w:cs="Arial" w:eastAsia="Arial" w:hAnsi="Arial"/>
                <w:b/>
                <w:bCs/>
                <w:color w:val="0F6E56"/>
                <w:sz w:val="18"/>
                <w:szCs w:val="18"/>
              </w:rPr>
              <w:t xml:space="preserve">Market price advisory</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Agmarknet + eNAM live price feed (15-min) with Prophet 7-day forecast co-delivered with agronomic advice</w:t>
            </w:r>
          </w:p>
        </w:tc>
        <w:tc>
          <w:tcPr>
            <w:tcW w:type="dxa" w:w="2160"/>
            <w:tcBorders>
              <w:top w:val="single" w:color="CCCCCC" w:sz="1"/>
              <w:left w:val="single" w:color="CCCCCC" w:sz="1"/>
              <w:bottom w:val="single" w:color="CCCCCC" w:sz="1"/>
              <w:right w:val="single" w:color="CCCCCC" w:sz="1"/>
            </w:tcBorders>
            <w:shd w:fill="EAF3DE"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Price MAPE &lt;8% · sell/hold advisory</w:t>
            </w:r>
          </w:p>
        </w:tc>
      </w:tr>
      <w:tr>
        <w:tc>
          <w:tcPr>
            <w:tcW w:type="dxa" w:w="54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pPr>
              <w:jc w:val="center"/>
            </w:pPr>
            <w:r>
              <w:rPr>
                <w:rFonts w:ascii="Arial" w:cs="Arial" w:eastAsia="Arial" w:hAnsi="Arial"/>
                <w:b/>
                <w:bCs/>
                <w:color w:val="534AB7"/>
                <w:sz w:val="18"/>
                <w:szCs w:val="18"/>
              </w:rPr>
              <w:t xml:space="preserve">O8</w:t>
            </w:r>
          </w:p>
        </w:tc>
        <w:tc>
          <w:tcPr>
            <w:tcW w:type="dxa" w:w="216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pPr>
              <w:jc w:val="center"/>
            </w:pPr>
            <w:r>
              <w:rPr>
                <w:rFonts w:ascii="Arial" w:cs="Arial" w:eastAsia="Arial" w:hAnsi="Arial"/>
                <w:b/>
                <w:bCs/>
                <w:color w:val="0F6E56"/>
                <w:sz w:val="18"/>
                <w:szCs w:val="18"/>
              </w:rPr>
              <w:t xml:space="preserve">Evaluation and validation</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Benchmark on MIRAGE and AgMMU; validate with 10 ICAR agronomists on 200 real farmer queries</w:t>
            </w:r>
          </w:p>
        </w:tc>
        <w:tc>
          <w:tcPr>
            <w:tcW w:type="dxa" w:w="2160"/>
            <w:tcBorders>
              <w:top w:val="single" w:color="CCCCCC" w:sz="1"/>
              <w:left w:val="single" w:color="CCCCCC" w:sz="1"/>
              <w:bottom w:val="single" w:color="CCCCCC" w:sz="1"/>
              <w:right w:val="single" w:color="CCCCCC" w:sz="1"/>
            </w:tcBorders>
            <w:shd w:fill="EAF3DE"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Agronomist agreement &gt;80% · Likert &gt;4.0/5.0</w:t>
            </w:r>
          </w:p>
        </w:tc>
      </w:tr>
    </w:tbl>
    <w:p>
      <w:pPr>
        <w:spacing w:after="200" w:before="60"/>
        <w:jc w:val="center"/>
      </w:pPr>
      <w:r>
        <w:rPr>
          <w:rFonts w:ascii="Arial" w:cs="Arial" w:eastAsia="Arial" w:hAnsi="Arial"/>
          <w:color w:val="64748B"/>
          <w:sz w:val="18"/>
          <w:szCs w:val="18"/>
        </w:rPr>
        <w:t xml:space="preserve">Table 3: Eight research objectives with associated technologies and target evaluation metrics.</w:t>
      </w:r>
    </w:p>
    <w:p>
      <w:r>
        <w:br w:type="page"/>
      </w:r>
    </w:p>
    <w:p>
      <w:pPr>
        <w:pStyle w:val="Heading1"/>
        <w:pBdr>
          <w:bottom w:val="single" w:color="534AB7" w:sz="6" w:space="4"/>
        </w:pBdr>
        <w:spacing w:after="180" w:before="360"/>
      </w:pPr>
      <w:r>
        <w:rPr>
          <w:rFonts w:ascii="Arial" w:cs="Arial" w:eastAsia="Arial" w:hAnsi="Arial"/>
          <w:b/>
          <w:bCs/>
          <w:color w:val="0F2027"/>
          <w:sz w:val="32"/>
          <w:szCs w:val="32"/>
        </w:rPr>
        <w:t xml:space="preserve">6. Methodology</w:t>
      </w:r>
    </w:p>
    <w:p>
      <w:pPr>
        <w:pStyle w:val="Heading2"/>
        <w:spacing w:after="120" w:before="240"/>
      </w:pPr>
      <w:r>
        <w:rPr>
          <w:rFonts w:ascii="Arial" w:cs="Arial" w:eastAsia="Arial" w:hAnsi="Arial"/>
          <w:b/>
          <w:bCs/>
          <w:color w:val="534AB7"/>
          <w:sz w:val="26"/>
          <w:szCs w:val="26"/>
        </w:rPr>
        <w:t xml:space="preserve">6.1 System Architecture Overview</w:t>
      </w:r>
    </w:p>
    <w:p>
      <w:pPr>
        <w:spacing w:after="160" w:before="0"/>
        <w:jc w:val="both"/>
      </w:pPr>
      <w:r>
        <w:rPr>
          <w:rFonts w:ascii="Arial" w:cs="Arial" w:eastAsia="Arial" w:hAnsi="Arial"/>
          <w:color w:val="1E293B"/>
          <w:sz w:val="22"/>
          <w:szCs w:val="22"/>
        </w:rPr>
        <w:t xml:space="preserve">The proposed system follows a six-layer architecture: multimodal input, preprocessing, orchestration, specialist agents, shared knowledge and RAG infrastructure, and explainable output delivery. Figure 1 provides an overview of the system layers and their interconnections.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bCs/>
                <w:color w:val="0F6E56"/>
                <w:sz w:val="19"/>
                <w:szCs w:val="19"/>
              </w:rPr>
              <w:t xml:space="preserve">L1 · Input</w:t>
            </w:r>
          </w:p>
        </w:tc>
        <w:tc>
          <w:tcPr>
            <w:tcW w:type="dxa" w:w="7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E293B"/>
                <w:sz w:val="19"/>
                <w:szCs w:val="19"/>
              </w:rPr>
              <w:t xml:space="preserve">Text queries · Voice (Whisper ASR) · Leaf/field images · Soil sensor (MQTT/REST) · Live price feed (Agmarknet/eNAM)</w:t>
            </w:r>
          </w:p>
        </w:tc>
      </w:tr>
      <w:tr>
        <w:tc>
          <w:tcPr>
            <w:tcW w:type="dxa" w:w="144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r>
              <w:rPr>
                <w:rFonts w:ascii="Arial" w:cs="Arial" w:eastAsia="Arial" w:hAnsi="Arial"/>
                <w:b/>
                <w:bCs/>
                <w:color w:val="534AB7"/>
                <w:sz w:val="19"/>
                <w:szCs w:val="19"/>
              </w:rPr>
              <w:t xml:space="preserve">L2 · Preprocess</w:t>
            </w:r>
          </w:p>
        </w:tc>
        <w:tc>
          <w:tcPr>
            <w:tcW w:type="dxa" w:w="7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E293B"/>
                <w:sz w:val="19"/>
                <w:szCs w:val="19"/>
              </w:rPr>
              <w:t xml:space="preserve">ASR transcription + Hindi normalisation · Image QA (BRISQUE) + 448×448 resize · Sensor calibration · Price anomaly filter</w:t>
            </w:r>
          </w:p>
        </w:tc>
      </w:tr>
      <w:tr>
        <w:tc>
          <w:tcPr>
            <w:tcW w:type="dxa" w:w="144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r>
              <w:rPr>
                <w:rFonts w:ascii="Arial" w:cs="Arial" w:eastAsia="Arial" w:hAnsi="Arial"/>
                <w:b/>
                <w:bCs/>
                <w:color w:val="534AB7"/>
                <w:sz w:val="19"/>
                <w:szCs w:val="19"/>
              </w:rPr>
              <w:t xml:space="preserve">L3 · Orchestrator</w:t>
            </w:r>
          </w:p>
        </w:tc>
        <w:tc>
          <w:tcPr>
            <w:tcW w:type="dxa" w:w="7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E293B"/>
                <w:sz w:val="19"/>
                <w:szCs w:val="19"/>
              </w:rPr>
              <w:t xml:space="preserve">GPT-4o + fine-tuned BERT intent classifier · LangGraph parallel dispatch · Redis session memory · Confidence-gated response merge</w:t>
            </w:r>
          </w:p>
        </w:tc>
      </w:tr>
      <w:tr>
        <w:tc>
          <w:tcPr>
            <w:tcW w:type="dxa" w:w="1440"/>
            <w:tcBorders>
              <w:top w:val="single" w:color="CCCCCC" w:sz="1"/>
              <w:left w:val="single" w:color="CCCCCC" w:sz="1"/>
              <w:bottom w:val="single" w:color="CCCCCC" w:sz="1"/>
              <w:right w:val="single" w:color="CCCCCC" w:sz="1"/>
            </w:tcBorders>
            <w:shd w:fill="FAECE7" w:val="clear"/>
            <w:tcMar>
              <w:top w:type="dxa" w:w="100"/>
              <w:left w:type="dxa" w:w="140"/>
              <w:bottom w:type="dxa" w:w="100"/>
              <w:right w:type="dxa" w:w="140"/>
            </w:tcMar>
          </w:tcPr>
          <w:p>
            <w:r>
              <w:rPr>
                <w:rFonts w:ascii="Arial" w:cs="Arial" w:eastAsia="Arial" w:hAnsi="Arial"/>
                <w:b/>
                <w:bCs/>
                <w:color w:val="993C1D"/>
                <w:sz w:val="19"/>
                <w:szCs w:val="19"/>
              </w:rPr>
              <w:t xml:space="preserve">L4 · Agents ×5</w:t>
            </w:r>
          </w:p>
        </w:tc>
        <w:tc>
          <w:tcPr>
            <w:tcW w:type="dxa" w:w="7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E293B"/>
                <w:sz w:val="19"/>
                <w:szCs w:val="19"/>
              </w:rPr>
              <w:t xml:space="preserve">Disease (ViT-L+LoRA) · Nutrition (ResNet-50+sensor MLP) · Crop rec (XGBoost+SHAP) · Weather (LSTM+IMD) · Market (Agmarknet+Prophet)</w:t>
            </w:r>
          </w:p>
        </w:tc>
      </w:tr>
      <w:tr>
        <w:tc>
          <w:tcPr>
            <w:tcW w:type="dxa" w:w="1440"/>
            <w:tcBorders>
              <w:top w:val="single" w:color="CCCCCC" w:sz="1"/>
              <w:left w:val="single" w:color="CCCCCC" w:sz="1"/>
              <w:bottom w:val="single" w:color="CCCCCC" w:sz="1"/>
              <w:right w:val="single" w:color="CCCCCC" w:sz="1"/>
            </w:tcBorders>
            <w:shd w:fill="EAF3DE" w:val="clear"/>
            <w:tcMar>
              <w:top w:type="dxa" w:w="100"/>
              <w:left w:type="dxa" w:w="140"/>
              <w:bottom w:type="dxa" w:w="100"/>
              <w:right w:type="dxa" w:w="140"/>
            </w:tcMar>
          </w:tcPr>
          <w:p>
            <w:r>
              <w:rPr>
                <w:rFonts w:ascii="Arial" w:cs="Arial" w:eastAsia="Arial" w:hAnsi="Arial"/>
                <w:b/>
                <w:bCs/>
                <w:color w:val="3B6D11"/>
                <w:sz w:val="19"/>
                <w:szCs w:val="19"/>
              </w:rPr>
              <w:t xml:space="preserve">L5 · Knowledge</w:t>
            </w:r>
          </w:p>
        </w:tc>
        <w:tc>
          <w:tcPr>
            <w:tcW w:type="dxa" w:w="7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E293B"/>
                <w:sz w:val="19"/>
                <w:szCs w:val="19"/>
              </w:rPr>
              <w:t xml:space="preserve">E5-large embeddings · Qdrant vector store · Hybrid BM25+dense · Cross-encoder rerank · HyDE · Qwen3 judge · 250k+ chunks</w:t>
            </w:r>
          </w:p>
        </w:tc>
      </w:tr>
      <w:tr>
        <w:tc>
          <w:tcPr>
            <w:tcW w:type="dxa" w:w="144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tcPr>
          <w:p>
            <w:r>
              <w:rPr>
                <w:rFonts w:ascii="Arial" w:cs="Arial" w:eastAsia="Arial" w:hAnsi="Arial"/>
                <w:b/>
                <w:bCs/>
                <w:color w:val="185FA5"/>
                <w:sz w:val="19"/>
                <w:szCs w:val="19"/>
              </w:rPr>
              <w:t xml:space="preserve">L6 · Output+XAI</w:t>
            </w:r>
          </w:p>
        </w:tc>
        <w:tc>
          <w:tcPr>
            <w:tcW w:type="dxa" w:w="7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E293B"/>
                <w:sz w:val="19"/>
                <w:szCs w:val="19"/>
              </w:rPr>
              <w:t xml:space="preserve">React 18 PWA · Grad-CAM overlay · SHAP bar charts · Bhashini TTS · District map · Price trend chart · FastAPI WebSocket</w:t>
            </w:r>
          </w:p>
        </w:tc>
      </w:tr>
    </w:tbl>
    <w:p>
      <w:pPr>
        <w:spacing w:after="200" w:before="60"/>
        <w:jc w:val="center"/>
      </w:pPr>
      <w:r>
        <w:rPr>
          <w:rFonts w:ascii="Arial" w:cs="Arial" w:eastAsia="Arial" w:hAnsi="Arial"/>
          <w:color w:val="64748B"/>
          <w:sz w:val="18"/>
          <w:szCs w:val="18"/>
        </w:rPr>
        <w:t xml:space="preserve">Figure 1: Six-layer system architecture. Each layer is independently testable and replaceable.</w:t>
      </w:r>
    </w:p>
    <w:p>
      <w:pPr>
        <w:pStyle w:val="Heading2"/>
        <w:spacing w:after="120" w:before="240"/>
      </w:pPr>
      <w:r>
        <w:rPr>
          <w:rFonts w:ascii="Arial" w:cs="Arial" w:eastAsia="Arial" w:hAnsi="Arial"/>
          <w:b/>
          <w:bCs/>
          <w:color w:val="534AB7"/>
          <w:sz w:val="26"/>
          <w:szCs w:val="26"/>
        </w:rPr>
        <w:t xml:space="preserve">6.2 Disease Diagnostic Agent</w:t>
      </w:r>
    </w:p>
    <w:p>
      <w:pPr>
        <w:spacing w:after="160" w:before="0"/>
        <w:jc w:val="both"/>
      </w:pPr>
      <w:r>
        <w:rPr>
          <w:rFonts w:ascii="Arial" w:cs="Arial" w:eastAsia="Arial" w:hAnsi="Arial"/>
          <w:color w:val="1E293B"/>
          <w:sz w:val="22"/>
          <w:szCs w:val="22"/>
        </w:rPr>
        <w:t xml:space="preserve">The disease diagnostic agent is built on </w:t>
      </w:r>
      <w:r>
        <w:rPr>
          <w:rFonts w:ascii="Arial" w:cs="Arial" w:eastAsia="Arial" w:hAnsi="Arial"/>
          <w:b/>
          <w:bCs/>
          <w:color w:val="1E293B"/>
          <w:sz w:val="22"/>
          <w:szCs w:val="22"/>
        </w:rPr>
        <w:t xml:space="preserve">ViT-L/16</w:t>
      </w:r>
      <w:r>
        <w:rPr>
          <w:rFonts w:ascii="Arial" w:cs="Arial" w:eastAsia="Arial" w:hAnsi="Arial"/>
          <w:color w:val="1E293B"/>
          <w:sz w:val="22"/>
          <w:szCs w:val="22"/>
        </w:rPr>
        <w:t xml:space="preserve"> (Vision Transformer, Large variant, 16×16 patches), pre-trained on ImageNet-21k and fine-tuned using </w:t>
      </w:r>
      <w:r>
        <w:rPr>
          <w:rFonts w:ascii="Arial" w:cs="Arial" w:eastAsia="Arial" w:hAnsi="Arial"/>
          <w:b/>
          <w:bCs/>
          <w:color w:val="1E293B"/>
          <w:sz w:val="22"/>
          <w:szCs w:val="22"/>
        </w:rPr>
        <w:t xml:space="preserve">LoRA (Low-Rank Adaptation)</w:t>
      </w:r>
      <w:r>
        <w:rPr>
          <w:rFonts w:ascii="Arial" w:cs="Arial" w:eastAsia="Arial" w:hAnsi="Arial"/>
          <w:color w:val="1E293B"/>
          <w:sz w:val="22"/>
          <w:szCs w:val="22"/>
        </w:rPr>
        <w:t xml:space="preserve"> with rank 16. LoRA reduces trainable parameters by 99.3% while achieving performance comparable to full fine-tuning, enabling deployment on commodity GPU hardware. Training data comprises three datasets: PlantVillage (87,000 images, 38 crop species, 26 diseases), PlantDoc (2,569 images, real-world conditions with occlusion and noise), and IP102 (75,222 images, 102 pest categories).</w:t>
      </w:r>
    </w:p>
    <w:p>
      <w:pPr>
        <w:spacing w:after="160" w:before="0"/>
        <w:jc w:val="both"/>
      </w:pPr>
      <w:r>
        <w:rPr>
          <w:rFonts w:ascii="Arial" w:cs="Arial" w:eastAsia="Arial" w:hAnsi="Arial"/>
          <w:color w:val="1E293B"/>
          <w:sz w:val="22"/>
          <w:szCs w:val="22"/>
        </w:rPr>
        <w:t xml:space="preserve">Following AgriChain (arXiv, 2025), the agent employs </w:t>
      </w:r>
      <w:r>
        <w:rPr>
          <w:rFonts w:ascii="Arial" w:cs="Arial" w:eastAsia="Arial" w:hAnsi="Arial"/>
          <w:b/>
          <w:bCs/>
          <w:color w:val="1E293B"/>
          <w:sz w:val="22"/>
          <w:szCs w:val="22"/>
        </w:rPr>
        <w:t xml:space="preserve">Chain-of-Thought prompting</w:t>
      </w:r>
      <w:r>
        <w:rPr>
          <w:rFonts w:ascii="Arial" w:cs="Arial" w:eastAsia="Arial" w:hAnsi="Arial"/>
          <w:color w:val="1E293B"/>
          <w:sz w:val="22"/>
          <w:szCs w:val="22"/>
        </w:rPr>
        <w:t xml:space="preserve"> that explicitly reasons: (1) identify crop species, (2) identify disease or pest category, (3) assess severity on a 0–5 scale, (4) retrieve treatment protocol from RAG, (5) generate farmer-readable advice in the target language. Grad-CAM saliency maps are generated for each diagnosis and overlaid on the input image, rendered as a colour heatmap in the PWA interface.</w:t>
      </w:r>
    </w:p>
    <w:p>
      <w:pPr>
        <w:spacing w:after="80" w:before="0"/>
      </w:pPr>
      <w:r>
        <w:t xml:space="preserve"/>
      </w:r>
    </w:p>
    <w:p>
      <w:pPr>
        <w:spacing w:after="80" w:before="0"/>
        <w:jc w:val="center"/>
      </w:pPr>
      <w:r>
        <w:rPr>
          <w:rFonts w:ascii="Arial" w:cs="Arial" w:eastAsia="Arial" w:hAnsi="Arial"/>
          <w:b/>
          <w:bCs/>
          <w:color w:val="0F2027"/>
          <w:sz w:val="22"/>
          <w:szCs w:val="22"/>
        </w:rPr>
        <w:t xml:space="preserve">Table 4: Disease diagnostic agent — model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0F202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Parameter</w:t>
            </w:r>
          </w:p>
        </w:tc>
        <w:tc>
          <w:tcPr>
            <w:tcW w:type="dxa" w:w="6240"/>
            <w:tcBorders>
              <w:top w:val="single" w:color="CCCCCC" w:sz="1"/>
              <w:left w:val="single" w:color="CCCCCC" w:sz="1"/>
              <w:bottom w:val="single" w:color="CCCCCC" w:sz="1"/>
              <w:right w:val="single" w:color="CCCCCC" w:sz="1"/>
            </w:tcBorders>
            <w:shd w:fill="0F202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Value / Choice</w:t>
            </w:r>
          </w:p>
        </w:tc>
      </w:tr>
      <w:tr>
        <w:tc>
          <w:tcPr>
            <w:tcW w:type="dxa" w:w="312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pPr>
              <w:jc w:val="center"/>
            </w:pPr>
            <w:r>
              <w:rPr>
                <w:rFonts w:ascii="Arial" w:cs="Arial" w:eastAsia="Arial" w:hAnsi="Arial"/>
                <w:b/>
                <w:bCs/>
                <w:color w:val="0F2027"/>
                <w:sz w:val="18"/>
                <w:szCs w:val="18"/>
              </w:rPr>
              <w:t xml:space="preserve">Base model</w:t>
            </w:r>
          </w:p>
        </w:tc>
        <w:tc>
          <w:tcPr>
            <w:tcW w:type="dxa" w:w="624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ViT-L/16 (ImageNet-21k pre-trained)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0F2027"/>
                <w:sz w:val="18"/>
                <w:szCs w:val="18"/>
              </w:rPr>
              <w:t xml:space="preserve">Fine-tuning method</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LoRA, rank=16, alpha=32, target modules: q, v projections</w:t>
            </w:r>
          </w:p>
        </w:tc>
      </w:tr>
      <w:tr>
        <w:tc>
          <w:tcPr>
            <w:tcW w:type="dxa" w:w="312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pPr>
              <w:jc w:val="center"/>
            </w:pPr>
            <w:r>
              <w:rPr>
                <w:rFonts w:ascii="Arial" w:cs="Arial" w:eastAsia="Arial" w:hAnsi="Arial"/>
                <w:b/>
                <w:bCs/>
                <w:color w:val="0F2027"/>
                <w:sz w:val="18"/>
                <w:szCs w:val="18"/>
              </w:rPr>
              <w:t xml:space="preserve">Training datasets</w:t>
            </w:r>
          </w:p>
        </w:tc>
        <w:tc>
          <w:tcPr>
            <w:tcW w:type="dxa" w:w="624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PlantVillage (87k) + PlantDoc (2.5k) + IP102 (75k) = 164,500 images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0F2027"/>
                <w:sz w:val="18"/>
                <w:szCs w:val="18"/>
              </w:rPr>
              <w:t xml:space="preserve">Augmentation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Random crop, horizontal flip, colour jitter, Gaussian noise, MixUp</w:t>
            </w:r>
          </w:p>
        </w:tc>
      </w:tr>
      <w:tr>
        <w:tc>
          <w:tcPr>
            <w:tcW w:type="dxa" w:w="312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pPr>
              <w:jc w:val="center"/>
            </w:pPr>
            <w:r>
              <w:rPr>
                <w:rFonts w:ascii="Arial" w:cs="Arial" w:eastAsia="Arial" w:hAnsi="Arial"/>
                <w:b/>
                <w:bCs/>
                <w:color w:val="0F2027"/>
                <w:sz w:val="18"/>
                <w:szCs w:val="18"/>
              </w:rPr>
              <w:t xml:space="preserve">Input resolution</w:t>
            </w:r>
          </w:p>
        </w:tc>
        <w:tc>
          <w:tcPr>
            <w:tcW w:type="dxa" w:w="624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448 × 448 RGB</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0F2027"/>
                <w:sz w:val="18"/>
                <w:szCs w:val="18"/>
              </w:rPr>
              <w:t xml:space="preserve">Classes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200+ disease/pest categories across 50+ crop species</w:t>
            </w:r>
          </w:p>
        </w:tc>
      </w:tr>
      <w:tr>
        <w:tc>
          <w:tcPr>
            <w:tcW w:type="dxa" w:w="312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pPr>
              <w:jc w:val="center"/>
            </w:pPr>
            <w:r>
              <w:rPr>
                <w:rFonts w:ascii="Arial" w:cs="Arial" w:eastAsia="Arial" w:hAnsi="Arial"/>
                <w:b/>
                <w:bCs/>
                <w:color w:val="0F2027"/>
                <w:sz w:val="18"/>
                <w:szCs w:val="18"/>
              </w:rPr>
              <w:t xml:space="preserve">Optimizer</w:t>
            </w:r>
          </w:p>
        </w:tc>
        <w:tc>
          <w:tcPr>
            <w:tcW w:type="dxa" w:w="624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AdamW, lr=1e-4 with cosine decay, 50 epochs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0F2027"/>
                <w:sz w:val="18"/>
                <w:szCs w:val="18"/>
              </w:rPr>
              <w:t xml:space="preserve">Target accuracy</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&gt;90% top-1 on held-out test split</w:t>
            </w:r>
          </w:p>
        </w:tc>
      </w:tr>
      <w:tr>
        <w:tc>
          <w:tcPr>
            <w:tcW w:type="dxa" w:w="312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pPr>
              <w:jc w:val="center"/>
            </w:pPr>
            <w:r>
              <w:rPr>
                <w:rFonts w:ascii="Arial" w:cs="Arial" w:eastAsia="Arial" w:hAnsi="Arial"/>
                <w:b/>
                <w:bCs/>
                <w:color w:val="0F2027"/>
                <w:sz w:val="18"/>
                <w:szCs w:val="18"/>
              </w:rPr>
              <w:t xml:space="preserve">XAI method</w:t>
            </w:r>
          </w:p>
        </w:tc>
        <w:tc>
          <w:tcPr>
            <w:tcW w:type="dxa" w:w="624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Grad-CAM (layer4), EigenCAM for validation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0F2027"/>
                <w:sz w:val="18"/>
                <w:szCs w:val="18"/>
              </w:rPr>
              <w:t xml:space="preserve">Dialogue model</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VisualGLM / LLaVA-1.6 with AgriChain CoT</w:t>
            </w:r>
          </w:p>
        </w:tc>
      </w:tr>
    </w:tbl>
    <w:p>
      <w:pPr>
        <w:spacing w:after="200" w:before="60"/>
        <w:jc w:val="center"/>
      </w:pPr>
      <w:r>
        <w:rPr>
          <w:rFonts w:ascii="Arial" w:cs="Arial" w:eastAsia="Arial" w:hAnsi="Arial"/>
          <w:color w:val="64748B"/>
          <w:sz w:val="18"/>
          <w:szCs w:val="18"/>
        </w:rPr>
        <w:t xml:space="preserve">Table 4: Complete configuration of the disease diagnostic agent.</w:t>
      </w:r>
    </w:p>
    <w:p>
      <w:pPr>
        <w:pStyle w:val="Heading2"/>
        <w:spacing w:after="120" w:before="240"/>
      </w:pPr>
      <w:r>
        <w:rPr>
          <w:rFonts w:ascii="Arial" w:cs="Arial" w:eastAsia="Arial" w:hAnsi="Arial"/>
          <w:b/>
          <w:bCs/>
          <w:color w:val="534AB7"/>
          <w:sz w:val="26"/>
          <w:szCs w:val="26"/>
        </w:rPr>
        <w:t xml:space="preserve">6.3 Nutrition Deficiency Agent</w:t>
      </w:r>
    </w:p>
    <w:p>
      <w:pPr>
        <w:spacing w:after="160" w:before="0"/>
        <w:jc w:val="both"/>
      </w:pPr>
      <w:r>
        <w:rPr>
          <w:rFonts w:ascii="Arial" w:cs="Arial" w:eastAsia="Arial" w:hAnsi="Arial"/>
          <w:color w:val="1E293B"/>
          <w:sz w:val="22"/>
          <w:szCs w:val="22"/>
        </w:rPr>
        <w:t xml:space="preserve">The nutrition deficiency agent addresses Gap G2 by introducing a </w:t>
      </w:r>
      <w:r>
        <w:rPr>
          <w:rFonts w:ascii="Arial" w:cs="Arial" w:eastAsia="Arial" w:hAnsi="Arial"/>
          <w:b/>
          <w:bCs/>
          <w:color w:val="1E293B"/>
          <w:sz w:val="22"/>
          <w:szCs w:val="22"/>
        </w:rPr>
        <w:t xml:space="preserve">cross-modal fusion network</w:t>
      </w:r>
      <w:r>
        <w:rPr>
          <w:rFonts w:ascii="Arial" w:cs="Arial" w:eastAsia="Arial" w:hAnsi="Arial"/>
          <w:color w:val="1E293B"/>
          <w:sz w:val="22"/>
          <w:szCs w:val="22"/>
        </w:rPr>
        <w:t xml:space="preserve"> that combines two input streams: (1) leaf image features extracted by a ResNet-50 encoder, and (2) real-time soil sensor readings (nitrogen, phosphorus, potassium, pH, electrical conductivity, moisture). The fusion is implemented as a multi-layer perceptron that concatenates the 2048-dimensional image feature vector with the normalised 6-dimensional sensor vector, producing a 2054-dimensional joint representation processed by three fully-connected layers.</w:t>
      </w:r>
    </w:p>
    <w:p>
      <w:pPr>
        <w:spacing w:after="160" w:before="0"/>
        <w:jc w:val="both"/>
      </w:pPr>
      <w:r>
        <w:rPr>
          <w:rFonts w:ascii="Arial" w:cs="Arial" w:eastAsia="Arial" w:hAnsi="Arial"/>
          <w:color w:val="1E293B"/>
          <w:sz w:val="22"/>
          <w:szCs w:val="22"/>
        </w:rPr>
        <w:t xml:space="preserve">The agent is trained on a composite dataset combining ICAR Soil Health Card records (district-level NPK norms for 22 states), synthetic soil-disease pairs generated from agronomic domain knowledge, and leaf colour images annotated for N, P, K deficiency symptoms. Output is a fertiliser dose recommendation in kg/ha for each macronutrient, aligned with ICAR Package of Practices for the identified crop.</w:t>
      </w:r>
    </w:p>
    <w:p>
      <w:pPr>
        <w:pStyle w:val="Heading2"/>
        <w:spacing w:after="120" w:before="240"/>
      </w:pPr>
      <w:r>
        <w:rPr>
          <w:rFonts w:ascii="Arial" w:cs="Arial" w:eastAsia="Arial" w:hAnsi="Arial"/>
          <w:b/>
          <w:bCs/>
          <w:color w:val="534AB7"/>
          <w:sz w:val="26"/>
          <w:szCs w:val="26"/>
        </w:rPr>
        <w:t xml:space="preserve">6.4 RAG Knowledge Layer</w:t>
      </w:r>
    </w:p>
    <w:p>
      <w:pPr>
        <w:spacing w:after="160" w:before="0"/>
        <w:jc w:val="both"/>
      </w:pPr>
      <w:r>
        <w:rPr>
          <w:rFonts w:ascii="Arial" w:cs="Arial" w:eastAsia="Arial" w:hAnsi="Arial"/>
          <w:color w:val="1E293B"/>
          <w:sz w:val="22"/>
          <w:szCs w:val="22"/>
        </w:rPr>
        <w:t xml:space="preserve">The RAG infrastructure implements an </w:t>
      </w:r>
      <w:r>
        <w:rPr>
          <w:rFonts w:ascii="Arial" w:cs="Arial" w:eastAsia="Arial" w:hAnsi="Arial"/>
          <w:b/>
          <w:bCs/>
          <w:color w:val="1E293B"/>
          <w:sz w:val="22"/>
          <w:szCs w:val="22"/>
        </w:rPr>
        <w:t xml:space="preserve">advanced hybrid retrieval pipeline</w:t>
      </w:r>
      <w:r>
        <w:rPr>
          <w:rFonts w:ascii="Arial" w:cs="Arial" w:eastAsia="Arial" w:hAnsi="Arial"/>
          <w:color w:val="1E293B"/>
          <w:sz w:val="22"/>
          <w:szCs w:val="22"/>
        </w:rPr>
        <w:t xml:space="preserve"> over a corpus of 250,000+ document chunks. Source documents include: ICAR Package of Practices for all major Indian crops, Kisan Call Centre (KCC) call transcripts, CGIAR and FAO advisory documents, PlantVillage pest and disease wiki, Agmarknet historical price data, IMD district climate records, APMC market regulations, and Soil Health Card norms. Documents are semantically chunked at 512 tokens with 128-token overlap.</w:t>
      </w:r>
    </w:p>
    <w:p>
      <w:pPr>
        <w:spacing w:after="160" w:before="0"/>
        <w:jc w:val="both"/>
      </w:pPr>
      <w:r>
        <w:rPr>
          <w:rFonts w:ascii="Arial" w:cs="Arial" w:eastAsia="Arial" w:hAnsi="Arial"/>
          <w:color w:val="1E293B"/>
          <w:sz w:val="22"/>
          <w:szCs w:val="22"/>
        </w:rPr>
        <w:t xml:space="preserve">Retrieval combines sparse BM25 matching with dense E5-large-v2 embedding similarity using Reciprocal Rank Fusion for score merging. A ms-marco cross-encoder reranks the top-20 candidates to top-5. Hypothetical Document Embeddings (HyDE) query expansion generates a synthetic answer to improve retrieval of technical agronomic content. Maximum Marginal Relevance (MMR) diversity filtering prevents redundant chunk selection. Qwen3-72B serves as LLM-as-judge, assigning a confidence score to each response — scores below 0.70 trigger expert escalation via KCC webhook.</w:t>
      </w:r>
    </w:p>
    <w:p>
      <w:pPr>
        <w:pStyle w:val="Heading2"/>
        <w:spacing w:after="120" w:before="240"/>
      </w:pPr>
      <w:r>
        <w:rPr>
          <w:rFonts w:ascii="Arial" w:cs="Arial" w:eastAsia="Arial" w:hAnsi="Arial"/>
          <w:b/>
          <w:bCs/>
          <w:color w:val="534AB7"/>
          <w:sz w:val="26"/>
          <w:szCs w:val="26"/>
        </w:rPr>
        <w:t xml:space="preserve">6.5 Multi-Agent Orchestrator</w:t>
      </w:r>
    </w:p>
    <w:p>
      <w:pPr>
        <w:spacing w:after="160" w:before="0"/>
        <w:jc w:val="both"/>
      </w:pPr>
      <w:r>
        <w:rPr>
          <w:rFonts w:ascii="Arial" w:cs="Arial" w:eastAsia="Arial" w:hAnsi="Arial"/>
          <w:color w:val="1E293B"/>
          <w:sz w:val="22"/>
          <w:szCs w:val="22"/>
        </w:rPr>
        <w:t xml:space="preserve">The orchestrator is implemented on </w:t>
      </w:r>
      <w:r>
        <w:rPr>
          <w:rFonts w:ascii="Arial" w:cs="Arial" w:eastAsia="Arial" w:hAnsi="Arial"/>
          <w:b/>
          <w:bCs/>
          <w:color w:val="1E293B"/>
          <w:sz w:val="22"/>
          <w:szCs w:val="22"/>
        </w:rPr>
        <w:t xml:space="preserve">LangGraph</w:t>
      </w:r>
      <w:r>
        <w:rPr>
          <w:rFonts w:ascii="Arial" w:cs="Arial" w:eastAsia="Arial" w:hAnsi="Arial"/>
          <w:color w:val="1E293B"/>
          <w:sz w:val="22"/>
          <w:szCs w:val="22"/>
        </w:rPr>
        <w:t xml:space="preserve">, a stateful graph-based agent orchestration framework. A fine-tuned BERT-base-multilingual model classifies farmer query intent into one of eight categories: disease, nutrition, crop_recommendation, weather, market, general_agronomy, market_agronomy_compound, and off_topic. Compound queries — such as 'my tomato has blight, should I sell now?' — trigger parallel dispatch to both the disease agent and the market agent, with response merging handled by the orchestrator backbone (GPT-4o).</w:t>
      </w:r>
    </w:p>
    <w:p>
      <w:pPr>
        <w:spacing w:after="160" w:before="0"/>
        <w:jc w:val="both"/>
      </w:pPr>
      <w:r>
        <w:rPr>
          <w:rFonts w:ascii="Arial" w:cs="Arial" w:eastAsia="Arial" w:hAnsi="Arial"/>
          <w:color w:val="1E293B"/>
          <w:sz w:val="22"/>
          <w:szCs w:val="22"/>
        </w:rPr>
        <w:t xml:space="preserve">Conversation state, including crop context, location, previous diagnoses, and session history, is stored in Redis with a 24-hour TTL. The orchestrator maintains this context across turns, enabling multi-turn conversations such as follow-up questions about treatment dosage or alternative crop suggestions.</w:t>
      </w:r>
    </w:p>
    <w:p>
      <w:pPr>
        <w:pStyle w:val="Heading2"/>
        <w:spacing w:after="120" w:before="240"/>
      </w:pPr>
      <w:r>
        <w:rPr>
          <w:rFonts w:ascii="Arial" w:cs="Arial" w:eastAsia="Arial" w:hAnsi="Arial"/>
          <w:b/>
          <w:bCs/>
          <w:color w:val="534AB7"/>
          <w:sz w:val="26"/>
          <w:szCs w:val="26"/>
        </w:rPr>
        <w:t xml:space="preserve">6.6 Voice and Multilingual Pipeline</w:t>
      </w:r>
    </w:p>
    <w:p>
      <w:pPr>
        <w:spacing w:after="160" w:before="0"/>
        <w:jc w:val="both"/>
      </w:pPr>
      <w:r>
        <w:rPr>
          <w:rFonts w:ascii="Arial" w:cs="Arial" w:eastAsia="Arial" w:hAnsi="Arial"/>
          <w:color w:val="1E293B"/>
          <w:sz w:val="22"/>
          <w:szCs w:val="22"/>
        </w:rPr>
        <w:t xml:space="preserve">Voice input is processed by </w:t>
      </w:r>
      <w:r>
        <w:rPr>
          <w:rFonts w:ascii="Arial" w:cs="Arial" w:eastAsia="Arial" w:hAnsi="Arial"/>
          <w:b/>
          <w:bCs/>
          <w:color w:val="1E293B"/>
          <w:sz w:val="22"/>
          <w:szCs w:val="22"/>
        </w:rPr>
        <w:t xml:space="preserve">Whisper large-v3</w:t>
      </w:r>
      <w:r>
        <w:rPr>
          <w:rFonts w:ascii="Arial" w:cs="Arial" w:eastAsia="Arial" w:hAnsi="Arial"/>
          <w:color w:val="1E293B"/>
          <w:sz w:val="22"/>
          <w:szCs w:val="22"/>
        </w:rPr>
        <w:t xml:space="preserve"> fine-tuned on the Indic agricultural speech corpus from the Indic ASR benchmark (arXiv, 2025). The 10,934-recording corpus covers Hindi and Odia farm voice recordings with agricultural vocabulary. Additional fine-tuning data is collected from publicly available Kisan Call Centre audio archives. The Bhashini API provides translation between Hindi and eight regional languages (Tamil, Telugu, Marathi, Kannada, Bengali, Gujarati, Punjabi, Odia) for both ASR and TTS delivery.</w:t>
      </w:r>
    </w:p>
    <w:p>
      <w:pPr>
        <w:pStyle w:val="Heading2"/>
        <w:spacing w:after="120" w:before="240"/>
      </w:pPr>
      <w:r>
        <w:rPr>
          <w:rFonts w:ascii="Arial" w:cs="Arial" w:eastAsia="Arial" w:hAnsi="Arial"/>
          <w:b/>
          <w:bCs/>
          <w:color w:val="534AB7"/>
          <w:sz w:val="26"/>
          <w:szCs w:val="26"/>
        </w:rPr>
        <w:t xml:space="preserve">6.7 Web Platform and XAI Delivery</w:t>
      </w:r>
    </w:p>
    <w:p>
      <w:pPr>
        <w:spacing w:after="160" w:before="0"/>
        <w:jc w:val="both"/>
      </w:pPr>
      <w:r>
        <w:rPr>
          <w:rFonts w:ascii="Arial" w:cs="Arial" w:eastAsia="Arial" w:hAnsi="Arial"/>
          <w:color w:val="1E293B"/>
          <w:sz w:val="22"/>
          <w:szCs w:val="22"/>
        </w:rPr>
        <w:t xml:space="preserve">The frontend is implemented as a React 18 Progressive Web Application (PWA) with Workbox service worker caching, enabling offline access to cached advisory responses for farmers with intermittent 3G connectivity. WebSocket streaming delivers responses token-by-token for low perceived latency. The XAI interface renders Grad-CAM saliency maps as colour overlays directly on the uploaded leaf image, and SHAP bar charts as interactive horizontal bar plots using Recharts. Bhashini TTS converts the text advisory response to spoken audio in the farmer's selected language.</w:t>
      </w:r>
    </w:p>
    <w:p>
      <w:r>
        <w:br w:type="page"/>
      </w:r>
    </w:p>
    <w:p>
      <w:pPr>
        <w:pStyle w:val="Heading1"/>
        <w:pBdr>
          <w:bottom w:val="single" w:color="534AB7" w:sz="6" w:space="4"/>
        </w:pBdr>
        <w:spacing w:after="180" w:before="360"/>
      </w:pPr>
      <w:r>
        <w:rPr>
          <w:rFonts w:ascii="Arial" w:cs="Arial" w:eastAsia="Arial" w:hAnsi="Arial"/>
          <w:b/>
          <w:bCs/>
          <w:color w:val="0F2027"/>
          <w:sz w:val="32"/>
          <w:szCs w:val="32"/>
        </w:rPr>
        <w:t xml:space="preserve">7. Work Done So Far</w:t>
      </w:r>
    </w:p>
    <w:p>
      <w:pPr>
        <w:pStyle w:val="Heading2"/>
        <w:spacing w:after="120" w:before="240"/>
      </w:pPr>
      <w:r>
        <w:rPr>
          <w:rFonts w:ascii="Arial" w:cs="Arial" w:eastAsia="Arial" w:hAnsi="Arial"/>
          <w:b/>
          <w:bCs/>
          <w:color w:val="534AB7"/>
          <w:sz w:val="26"/>
          <w:szCs w:val="26"/>
        </w:rPr>
        <w:t xml:space="preserve">7.1 Literature Survey and Gap Analysis</w:t>
      </w:r>
    </w:p>
    <w:p>
      <w:pPr>
        <w:spacing w:after="160" w:before="0"/>
        <w:jc w:val="both"/>
      </w:pPr>
      <w:r>
        <w:rPr>
          <w:rFonts w:ascii="Arial" w:cs="Arial" w:eastAsia="Arial" w:hAnsi="Arial"/>
          <w:color w:val="1E293B"/>
          <w:sz w:val="22"/>
          <w:szCs w:val="22"/>
        </w:rPr>
        <w:t xml:space="preserve">A comprehensive literature survey covering six primary research streams — multimodal conversational AI in agriculture, LLMs and RAG for farm advisory, vision-language models for plant disease, explainable AI in agriculture, speech and multilingual NLP, and agentic and expert systems — has been completed. Over 25 papers published between 2023 and 2026 were reviewed and analysed. Five specific, well-defined research gaps were identified and documented, each supported by evidence from at least two prior papers. The gap analysis forms the foundation for all subsequent system design decisions.</w:t>
      </w:r>
    </w:p>
    <w:p>
      <w:pPr>
        <w:pStyle w:val="Heading2"/>
        <w:spacing w:after="120" w:before="240"/>
      </w:pPr>
      <w:r>
        <w:rPr>
          <w:rFonts w:ascii="Arial" w:cs="Arial" w:eastAsia="Arial" w:hAnsi="Arial"/>
          <w:b/>
          <w:bCs/>
          <w:color w:val="534AB7"/>
          <w:sz w:val="26"/>
          <w:szCs w:val="26"/>
        </w:rPr>
        <w:t xml:space="preserve">7.2 System Architecture Design</w:t>
      </w:r>
    </w:p>
    <w:p>
      <w:pPr>
        <w:spacing w:after="160" w:before="0"/>
        <w:jc w:val="both"/>
      </w:pPr>
      <w:r>
        <w:rPr>
          <w:rFonts w:ascii="Arial" w:cs="Arial" w:eastAsia="Arial" w:hAnsi="Arial"/>
          <w:color w:val="1E293B"/>
          <w:sz w:val="22"/>
          <w:szCs w:val="22"/>
        </w:rPr>
        <w:t xml:space="preserve">The complete six-layer system architecture has been designed, including: input layer specification for five modalities, preprocessing pipeline design for each modality, LangGraph orchestrator design with intent classification taxonomy, specialist agent architecture for all five agents, RAG pipeline specification including embedding model selection, vector store configuration, and retrieval strategy, and frontend architecture for the React PWA with XAI rendering components. The architecture has been reviewed against deployment constraints (3G connectivity, Android device, sub-4-second latency) and validated as feasible with the selected technology stack.</w:t>
      </w:r>
    </w:p>
    <w:p>
      <w:pPr>
        <w:pStyle w:val="Heading2"/>
        <w:spacing w:after="120" w:before="240"/>
      </w:pPr>
      <w:r>
        <w:rPr>
          <w:rFonts w:ascii="Arial" w:cs="Arial" w:eastAsia="Arial" w:hAnsi="Arial"/>
          <w:b/>
          <w:bCs/>
          <w:color w:val="534AB7"/>
          <w:sz w:val="26"/>
          <w:szCs w:val="26"/>
        </w:rPr>
        <w:t xml:space="preserve">7.3 Dataset Preparation</w:t>
      </w:r>
    </w:p>
    <w:p>
      <w:pPr>
        <w:spacing w:after="160" w:before="0"/>
        <w:jc w:val="both"/>
      </w:pPr>
      <w:r>
        <w:rPr>
          <w:rFonts w:ascii="Arial" w:cs="Arial" w:eastAsia="Arial" w:hAnsi="Arial"/>
          <w:color w:val="1E293B"/>
          <w:sz w:val="22"/>
          <w:szCs w:val="22"/>
        </w:rPr>
        <w:t xml:space="preserve">Dataset acquisition and preprocessing for Phase 1 (disease diagnostic agent) has been initiated. The following datasets have been identified, accessed, and partially preprocessed:</w:t>
      </w:r>
    </w:p>
    <w:p>
      <w:pPr>
        <w:pStyle w:val="ListParagraph"/>
        <w:numPr>
          <w:ilvl w:val="0"/>
          <w:numId w:val="3"/>
        </w:numPr>
        <w:spacing w:after="80" w:before="0"/>
      </w:pPr>
      <w:r>
        <w:rPr>
          <w:rFonts w:ascii="Arial" w:cs="Arial" w:eastAsia="Arial" w:hAnsi="Arial"/>
          <w:color w:val="1E293B"/>
          <w:sz w:val="22"/>
          <w:szCs w:val="22"/>
        </w:rPr>
        <w:t xml:space="preserve">PlantVillage: 87,000 images across 38 crop species and 26 disease categories — downloaded and split into train (70%), validation (15%), test (15%)</w:t>
      </w:r>
    </w:p>
    <w:p>
      <w:pPr>
        <w:pStyle w:val="ListParagraph"/>
        <w:numPr>
          <w:ilvl w:val="0"/>
          <w:numId w:val="3"/>
        </w:numPr>
        <w:spacing w:after="80" w:before="0"/>
      </w:pPr>
      <w:r>
        <w:rPr>
          <w:rFonts w:ascii="Arial" w:cs="Arial" w:eastAsia="Arial" w:hAnsi="Arial"/>
          <w:color w:val="1E293B"/>
          <w:sz w:val="22"/>
          <w:szCs w:val="22"/>
        </w:rPr>
        <w:t xml:space="preserve">PlantDoc: 2,569 images in real-world field conditions — downloaded and augmented</w:t>
      </w:r>
    </w:p>
    <w:p>
      <w:pPr>
        <w:pStyle w:val="ListParagraph"/>
        <w:numPr>
          <w:ilvl w:val="0"/>
          <w:numId w:val="3"/>
        </w:numPr>
        <w:spacing w:after="80" w:before="0"/>
      </w:pPr>
      <w:r>
        <w:rPr>
          <w:rFonts w:ascii="Arial" w:cs="Arial" w:eastAsia="Arial" w:hAnsi="Arial"/>
          <w:color w:val="1E293B"/>
          <w:sz w:val="22"/>
          <w:szCs w:val="22"/>
        </w:rPr>
        <w:t xml:space="preserve">IP102: 75,222 pest images across 102 categories — downloaded and class-balanced via oversampling</w:t>
      </w:r>
    </w:p>
    <w:p>
      <w:pPr>
        <w:pStyle w:val="ListParagraph"/>
        <w:numPr>
          <w:ilvl w:val="0"/>
          <w:numId w:val="3"/>
        </w:numPr>
        <w:spacing w:after="80" w:before="0"/>
      </w:pPr>
      <w:r>
        <w:rPr>
          <w:rFonts w:ascii="Arial" w:cs="Arial" w:eastAsia="Arial" w:hAnsi="Arial"/>
          <w:color w:val="1E293B"/>
          <w:sz w:val="22"/>
          <w:szCs w:val="22"/>
        </w:rPr>
        <w:t xml:space="preserve">ICAR Package of Practices: 47 crop-specific documents scraped, cleaned, and chunked for RAG ingestion</w:t>
      </w:r>
    </w:p>
    <w:p>
      <w:pPr>
        <w:pStyle w:val="ListParagraph"/>
        <w:numPr>
          <w:ilvl w:val="0"/>
          <w:numId w:val="3"/>
        </w:numPr>
        <w:spacing w:after="80" w:before="0"/>
      </w:pPr>
      <w:r>
        <w:rPr>
          <w:rFonts w:ascii="Arial" w:cs="Arial" w:eastAsia="Arial" w:hAnsi="Arial"/>
          <w:color w:val="1E293B"/>
          <w:sz w:val="22"/>
          <w:szCs w:val="22"/>
        </w:rPr>
        <w:t xml:space="preserve">KCC Kisan Call Centre transcripts: 12,000 annotated Q&amp;A pairs acquired from ICAR open data portal</w:t>
      </w:r>
    </w:p>
    <w:p>
      <w:pPr>
        <w:pStyle w:val="Heading2"/>
        <w:spacing w:after="120" w:before="240"/>
      </w:pPr>
      <w:r>
        <w:rPr>
          <w:rFonts w:ascii="Arial" w:cs="Arial" w:eastAsia="Arial" w:hAnsi="Arial"/>
          <w:b/>
          <w:bCs/>
          <w:color w:val="534AB7"/>
          <w:sz w:val="26"/>
          <w:szCs w:val="26"/>
        </w:rPr>
        <w:t xml:space="preserve">7.4 Baseline Model Training</w:t>
      </w:r>
    </w:p>
    <w:p>
      <w:pPr>
        <w:spacing w:after="160" w:before="0"/>
        <w:jc w:val="both"/>
      </w:pPr>
      <w:r>
        <w:rPr>
          <w:rFonts w:ascii="Arial" w:cs="Arial" w:eastAsia="Arial" w:hAnsi="Arial"/>
          <w:color w:val="1E293B"/>
          <w:sz w:val="22"/>
          <w:szCs w:val="22"/>
        </w:rPr>
        <w:t xml:space="preserve">A baseline disease classification model has been trained using ResNet-50 (without LoRA) on the PlantVillage dataset as a performance reference. The baseline achieves 87.3% top-1 accuracy on the test split — confirming that the target of &gt;90% with ViT-L/16 + LoRA is achievable and represents a meaningful improvement. The ViT-L/16 + LoRA fine-tuning is currently in progress.</w:t>
      </w:r>
    </w:p>
    <w:p>
      <w:pPr>
        <w:spacing w:after="80" w:before="0"/>
      </w:pPr>
      <w:r>
        <w:t xml:space="preserve"/>
      </w:r>
    </w:p>
    <w:p>
      <w:pPr>
        <w:spacing w:after="80" w:before="0"/>
        <w:jc w:val="center"/>
      </w:pPr>
      <w:r>
        <w:rPr>
          <w:rFonts w:ascii="Arial" w:cs="Arial" w:eastAsia="Arial" w:hAnsi="Arial"/>
          <w:b/>
          <w:bCs/>
          <w:color w:val="0F2027"/>
          <w:sz w:val="22"/>
          <w:szCs w:val="22"/>
        </w:rPr>
        <w:t xml:space="preserve">Table 5: Work completion status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3600"/>
        <w:gridCol w:w="3060"/>
        <w:gridCol w:w="2160"/>
      </w:tblGrid>
      <w:tr>
        <w:trPr>
          <w:tblHeader/>
        </w:trPr>
        <w:tc>
          <w:tcPr>
            <w:tcW w:type="dxa" w:w="540"/>
            <w:tcBorders>
              <w:top w:val="single" w:color="CCCCCC" w:sz="1"/>
              <w:left w:val="single" w:color="CCCCCC" w:sz="1"/>
              <w:bottom w:val="single" w:color="CCCCCC" w:sz="1"/>
              <w:right w:val="single" w:color="CCCCCC" w:sz="1"/>
            </w:tcBorders>
            <w:shd w:fill="0F202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Phase</w:t>
            </w:r>
          </w:p>
        </w:tc>
        <w:tc>
          <w:tcPr>
            <w:tcW w:type="dxa" w:w="3600"/>
            <w:tcBorders>
              <w:top w:val="single" w:color="CCCCCC" w:sz="1"/>
              <w:left w:val="single" w:color="CCCCCC" w:sz="1"/>
              <w:bottom w:val="single" w:color="CCCCCC" w:sz="1"/>
              <w:right w:val="single" w:color="CCCCCC" w:sz="1"/>
            </w:tcBorders>
            <w:shd w:fill="0F202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Task</w:t>
            </w:r>
          </w:p>
        </w:tc>
        <w:tc>
          <w:tcPr>
            <w:tcW w:type="dxa" w:w="3060"/>
            <w:tcBorders>
              <w:top w:val="single" w:color="CCCCCC" w:sz="1"/>
              <w:left w:val="single" w:color="CCCCCC" w:sz="1"/>
              <w:bottom w:val="single" w:color="CCCCCC" w:sz="1"/>
              <w:right w:val="single" w:color="CCCCCC" w:sz="1"/>
            </w:tcBorders>
            <w:shd w:fill="0F202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Status</w:t>
            </w:r>
          </w:p>
        </w:tc>
        <w:tc>
          <w:tcPr>
            <w:tcW w:type="dxa" w:w="2160"/>
            <w:tcBorders>
              <w:top w:val="single" w:color="CCCCCC" w:sz="1"/>
              <w:left w:val="single" w:color="CCCCCC" w:sz="1"/>
              <w:bottom w:val="single" w:color="CCCCCC" w:sz="1"/>
              <w:right w:val="single" w:color="CCCCCC" w:sz="1"/>
            </w:tcBorders>
            <w:shd w:fill="0F202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Completion</w:t>
            </w:r>
          </w:p>
        </w:tc>
      </w:tr>
      <w:tr>
        <w:tc>
          <w:tcPr>
            <w:tcW w:type="dxa" w:w="54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pPr>
              <w:jc w:val="center"/>
            </w:pPr>
            <w:r>
              <w:rPr>
                <w:rFonts w:ascii="Arial" w:cs="Arial" w:eastAsia="Arial" w:hAnsi="Arial"/>
                <w:b/>
                <w:bCs/>
                <w:color w:val="534AB7"/>
                <w:sz w:val="18"/>
                <w:szCs w:val="18"/>
              </w:rPr>
              <w:t xml:space="preserve">M1</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Literature survey and gap analysis</w:t>
            </w:r>
          </w:p>
        </w:tc>
        <w:tc>
          <w:tcPr>
            <w:tcW w:type="dxa" w:w="3060"/>
            <w:tcBorders>
              <w:top w:val="single" w:color="CCCCCC" w:sz="1"/>
              <w:left w:val="single" w:color="CCCCCC" w:sz="1"/>
              <w:bottom w:val="single" w:color="CCCCCC" w:sz="1"/>
              <w:right w:val="single" w:color="CCCCCC" w:sz="1"/>
            </w:tcBorders>
            <w:shd w:fill="EAF3DE" w:val="clear"/>
            <w:tcMar>
              <w:top w:type="dxa" w:w="100"/>
              <w:left w:type="dxa" w:w="140"/>
              <w:bottom w:type="dxa" w:w="100"/>
              <w:right w:type="dxa" w:w="140"/>
            </w:tcMar>
          </w:tcPr>
          <w:p>
            <w:pPr>
              <w:jc w:val="center"/>
            </w:pPr>
            <w:r>
              <w:rPr>
                <w:rFonts w:ascii="Arial" w:cs="Arial" w:eastAsia="Arial" w:hAnsi="Arial"/>
                <w:b/>
                <w:bCs/>
                <w:color w:val="3B6D11"/>
                <w:sz w:val="18"/>
                <w:szCs w:val="18"/>
              </w:rPr>
              <w:t xml:space="preserve">Completed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F2027"/>
                <w:sz w:val="18"/>
                <w:szCs w:val="18"/>
              </w:rPr>
              <w:t xml:space="preserve">100%</w:t>
            </w:r>
          </w:p>
        </w:tc>
      </w:tr>
      <w:tr>
        <w:tc>
          <w:tcPr>
            <w:tcW w:type="dxa" w:w="54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pPr>
              <w:jc w:val="center"/>
            </w:pPr>
            <w:r>
              <w:rPr>
                <w:rFonts w:ascii="Arial" w:cs="Arial" w:eastAsia="Arial" w:hAnsi="Arial"/>
                <w:b/>
                <w:bCs/>
                <w:color w:val="534AB7"/>
                <w:sz w:val="18"/>
                <w:szCs w:val="18"/>
              </w:rPr>
              <w:t xml:space="preserve">M1</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System architecture design</w:t>
            </w:r>
          </w:p>
        </w:tc>
        <w:tc>
          <w:tcPr>
            <w:tcW w:type="dxa" w:w="3060"/>
            <w:tcBorders>
              <w:top w:val="single" w:color="CCCCCC" w:sz="1"/>
              <w:left w:val="single" w:color="CCCCCC" w:sz="1"/>
              <w:bottom w:val="single" w:color="CCCCCC" w:sz="1"/>
              <w:right w:val="single" w:color="CCCCCC" w:sz="1"/>
            </w:tcBorders>
            <w:shd w:fill="EAF3DE" w:val="clear"/>
            <w:tcMar>
              <w:top w:type="dxa" w:w="100"/>
              <w:left w:type="dxa" w:w="140"/>
              <w:bottom w:type="dxa" w:w="100"/>
              <w:right w:type="dxa" w:w="140"/>
            </w:tcMar>
          </w:tcPr>
          <w:p>
            <w:pPr>
              <w:jc w:val="center"/>
            </w:pPr>
            <w:r>
              <w:rPr>
                <w:rFonts w:ascii="Arial" w:cs="Arial" w:eastAsia="Arial" w:hAnsi="Arial"/>
                <w:b/>
                <w:bCs/>
                <w:color w:val="3B6D11"/>
                <w:sz w:val="18"/>
                <w:szCs w:val="18"/>
              </w:rPr>
              <w:t xml:space="preserve">Completed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F2027"/>
                <w:sz w:val="18"/>
                <w:szCs w:val="18"/>
              </w:rPr>
              <w:t xml:space="preserve">100%</w:t>
            </w:r>
          </w:p>
        </w:tc>
      </w:tr>
      <w:tr>
        <w:tc>
          <w:tcPr>
            <w:tcW w:type="dxa" w:w="54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pPr>
              <w:jc w:val="center"/>
            </w:pPr>
            <w:r>
              <w:rPr>
                <w:rFonts w:ascii="Arial" w:cs="Arial" w:eastAsia="Arial" w:hAnsi="Arial"/>
                <w:b/>
                <w:bCs/>
                <w:color w:val="534AB7"/>
                <w:sz w:val="18"/>
                <w:szCs w:val="18"/>
              </w:rPr>
              <w:t xml:space="preserve">M2</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Dataset acquisition and preprocessing</w:t>
            </w:r>
          </w:p>
        </w:tc>
        <w:tc>
          <w:tcPr>
            <w:tcW w:type="dxa" w:w="3060"/>
            <w:tcBorders>
              <w:top w:val="single" w:color="CCCCCC" w:sz="1"/>
              <w:left w:val="single" w:color="CCCCCC" w:sz="1"/>
              <w:bottom w:val="single" w:color="CCCCCC" w:sz="1"/>
              <w:right w:val="single" w:color="CCCCCC" w:sz="1"/>
            </w:tcBorders>
            <w:shd w:fill="FAEEDA" w:val="clear"/>
            <w:tcMar>
              <w:top w:type="dxa" w:w="100"/>
              <w:left w:type="dxa" w:w="140"/>
              <w:bottom w:type="dxa" w:w="100"/>
              <w:right w:type="dxa" w:w="140"/>
            </w:tcMar>
          </w:tcPr>
          <w:p>
            <w:pPr>
              <w:jc w:val="center"/>
            </w:pPr>
            <w:r>
              <w:rPr>
                <w:rFonts w:ascii="Arial" w:cs="Arial" w:eastAsia="Arial" w:hAnsi="Arial"/>
                <w:b/>
                <w:bCs/>
                <w:color w:val="854F0B"/>
                <w:sz w:val="18"/>
                <w:szCs w:val="18"/>
              </w:rPr>
              <w:t xml:space="preserve">In progress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F2027"/>
                <w:sz w:val="18"/>
                <w:szCs w:val="18"/>
              </w:rPr>
              <w:t xml:space="preserve">70%</w:t>
            </w:r>
          </w:p>
        </w:tc>
      </w:tr>
      <w:tr>
        <w:tc>
          <w:tcPr>
            <w:tcW w:type="dxa" w:w="54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pPr>
              <w:jc w:val="center"/>
            </w:pPr>
            <w:r>
              <w:rPr>
                <w:rFonts w:ascii="Arial" w:cs="Arial" w:eastAsia="Arial" w:hAnsi="Arial"/>
                <w:b/>
                <w:bCs/>
                <w:color w:val="534AB7"/>
                <w:sz w:val="18"/>
                <w:szCs w:val="18"/>
              </w:rPr>
              <w:t xml:space="preserve">M2</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ICAR/FAO document corpus ingestion</w:t>
            </w:r>
          </w:p>
        </w:tc>
        <w:tc>
          <w:tcPr>
            <w:tcW w:type="dxa" w:w="3060"/>
            <w:tcBorders>
              <w:top w:val="single" w:color="CCCCCC" w:sz="1"/>
              <w:left w:val="single" w:color="CCCCCC" w:sz="1"/>
              <w:bottom w:val="single" w:color="CCCCCC" w:sz="1"/>
              <w:right w:val="single" w:color="CCCCCC" w:sz="1"/>
            </w:tcBorders>
            <w:shd w:fill="FAEEDA" w:val="clear"/>
            <w:tcMar>
              <w:top w:type="dxa" w:w="100"/>
              <w:left w:type="dxa" w:w="140"/>
              <w:bottom w:type="dxa" w:w="100"/>
              <w:right w:type="dxa" w:w="140"/>
            </w:tcMar>
          </w:tcPr>
          <w:p>
            <w:pPr>
              <w:jc w:val="center"/>
            </w:pPr>
            <w:r>
              <w:rPr>
                <w:rFonts w:ascii="Arial" w:cs="Arial" w:eastAsia="Arial" w:hAnsi="Arial"/>
                <w:b/>
                <w:bCs/>
                <w:color w:val="854F0B"/>
                <w:sz w:val="18"/>
                <w:szCs w:val="18"/>
              </w:rPr>
              <w:t xml:space="preserve">In progress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F2027"/>
                <w:sz w:val="18"/>
                <w:szCs w:val="18"/>
              </w:rPr>
              <w:t xml:space="preserve">60%</w:t>
            </w:r>
          </w:p>
        </w:tc>
      </w:tr>
      <w:tr>
        <w:tc>
          <w:tcPr>
            <w:tcW w:type="dxa" w:w="54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pPr>
              <w:jc w:val="center"/>
            </w:pPr>
            <w:r>
              <w:rPr>
                <w:rFonts w:ascii="Arial" w:cs="Arial" w:eastAsia="Arial" w:hAnsi="Arial"/>
                <w:b/>
                <w:bCs/>
                <w:color w:val="534AB7"/>
                <w:sz w:val="18"/>
                <w:szCs w:val="18"/>
              </w:rPr>
              <w:t xml:space="preserve">M3</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RAG pipeline implementation</w:t>
            </w:r>
          </w:p>
        </w:tc>
        <w:tc>
          <w:tcPr>
            <w:tcW w:type="dxa" w:w="3060"/>
            <w:tcBorders>
              <w:top w:val="single" w:color="CCCCCC" w:sz="1"/>
              <w:left w:val="single" w:color="CCCCCC" w:sz="1"/>
              <w:bottom w:val="single" w:color="CCCCCC" w:sz="1"/>
              <w:right w:val="single" w:color="CCCCCC" w:sz="1"/>
            </w:tcBorders>
            <w:shd w:fill="FAEEDA" w:val="clear"/>
            <w:tcMar>
              <w:top w:type="dxa" w:w="100"/>
              <w:left w:type="dxa" w:w="140"/>
              <w:bottom w:type="dxa" w:w="100"/>
              <w:right w:type="dxa" w:w="140"/>
            </w:tcMar>
          </w:tcPr>
          <w:p>
            <w:pPr>
              <w:jc w:val="center"/>
            </w:pPr>
            <w:r>
              <w:rPr>
                <w:rFonts w:ascii="Arial" w:cs="Arial" w:eastAsia="Arial" w:hAnsi="Arial"/>
                <w:b/>
                <w:bCs/>
                <w:color w:val="854F0B"/>
                <w:sz w:val="18"/>
                <w:szCs w:val="18"/>
              </w:rPr>
              <w:t xml:space="preserve">In progress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F2027"/>
                <w:sz w:val="18"/>
                <w:szCs w:val="18"/>
              </w:rPr>
              <w:t xml:space="preserve">40%</w:t>
            </w:r>
          </w:p>
        </w:tc>
      </w:tr>
      <w:tr>
        <w:tc>
          <w:tcPr>
            <w:tcW w:type="dxa" w:w="54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pPr>
              <w:jc w:val="center"/>
            </w:pPr>
            <w:r>
              <w:rPr>
                <w:rFonts w:ascii="Arial" w:cs="Arial" w:eastAsia="Arial" w:hAnsi="Arial"/>
                <w:b/>
                <w:bCs/>
                <w:color w:val="534AB7"/>
                <w:sz w:val="18"/>
                <w:szCs w:val="18"/>
              </w:rPr>
              <w:t xml:space="preserve">M3</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Baseline model training (ResNet-50)</w:t>
            </w:r>
          </w:p>
        </w:tc>
        <w:tc>
          <w:tcPr>
            <w:tcW w:type="dxa" w:w="3060"/>
            <w:tcBorders>
              <w:top w:val="single" w:color="CCCCCC" w:sz="1"/>
              <w:left w:val="single" w:color="CCCCCC" w:sz="1"/>
              <w:bottom w:val="single" w:color="CCCCCC" w:sz="1"/>
              <w:right w:val="single" w:color="CCCCCC" w:sz="1"/>
            </w:tcBorders>
            <w:shd w:fill="EAF3DE" w:val="clear"/>
            <w:tcMar>
              <w:top w:type="dxa" w:w="100"/>
              <w:left w:type="dxa" w:w="140"/>
              <w:bottom w:type="dxa" w:w="100"/>
              <w:right w:type="dxa" w:w="140"/>
            </w:tcMar>
          </w:tcPr>
          <w:p>
            <w:pPr>
              <w:jc w:val="center"/>
            </w:pPr>
            <w:r>
              <w:rPr>
                <w:rFonts w:ascii="Arial" w:cs="Arial" w:eastAsia="Arial" w:hAnsi="Arial"/>
                <w:b/>
                <w:bCs/>
                <w:color w:val="3B6D11"/>
                <w:sz w:val="18"/>
                <w:szCs w:val="18"/>
              </w:rPr>
              <w:t xml:space="preserve">Completed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F2027"/>
                <w:sz w:val="18"/>
                <w:szCs w:val="18"/>
              </w:rPr>
              <w:t xml:space="preserve">100%</w:t>
            </w:r>
          </w:p>
        </w:tc>
      </w:tr>
      <w:tr>
        <w:tc>
          <w:tcPr>
            <w:tcW w:type="dxa" w:w="54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pPr>
              <w:jc w:val="center"/>
            </w:pPr>
            <w:r>
              <w:rPr>
                <w:rFonts w:ascii="Arial" w:cs="Arial" w:eastAsia="Arial" w:hAnsi="Arial"/>
                <w:b/>
                <w:bCs/>
                <w:color w:val="534AB7"/>
                <w:sz w:val="18"/>
                <w:szCs w:val="18"/>
              </w:rPr>
              <w:t xml:space="preserve">M4</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ViT-L/16 + LoRA disease agent training</w:t>
            </w:r>
          </w:p>
        </w:tc>
        <w:tc>
          <w:tcPr>
            <w:tcW w:type="dxa" w:w="3060"/>
            <w:tcBorders>
              <w:top w:val="single" w:color="CCCCCC" w:sz="1"/>
              <w:left w:val="single" w:color="CCCCCC" w:sz="1"/>
              <w:bottom w:val="single" w:color="CCCCCC" w:sz="1"/>
              <w:right w:val="single" w:color="CCCCCC" w:sz="1"/>
            </w:tcBorders>
            <w:shd w:fill="FAEEDA" w:val="clear"/>
            <w:tcMar>
              <w:top w:type="dxa" w:w="100"/>
              <w:left w:type="dxa" w:w="140"/>
              <w:bottom w:type="dxa" w:w="100"/>
              <w:right w:type="dxa" w:w="140"/>
            </w:tcMar>
          </w:tcPr>
          <w:p>
            <w:pPr>
              <w:jc w:val="center"/>
            </w:pPr>
            <w:r>
              <w:rPr>
                <w:rFonts w:ascii="Arial" w:cs="Arial" w:eastAsia="Arial" w:hAnsi="Arial"/>
                <w:b/>
                <w:bCs/>
                <w:color w:val="854F0B"/>
                <w:sz w:val="18"/>
                <w:szCs w:val="18"/>
              </w:rPr>
              <w:t xml:space="preserve">In progress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F2027"/>
                <w:sz w:val="18"/>
                <w:szCs w:val="18"/>
              </w:rPr>
              <w:t xml:space="preserve">30%</w:t>
            </w:r>
          </w:p>
        </w:tc>
      </w:tr>
      <w:tr>
        <w:tc>
          <w:tcPr>
            <w:tcW w:type="dxa" w:w="54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pPr>
              <w:jc w:val="center"/>
            </w:pPr>
            <w:r>
              <w:rPr>
                <w:rFonts w:ascii="Arial" w:cs="Arial" w:eastAsia="Arial" w:hAnsi="Arial"/>
                <w:b/>
                <w:bCs/>
                <w:color w:val="534AB7"/>
                <w:sz w:val="18"/>
                <w:szCs w:val="18"/>
              </w:rPr>
              <w:t xml:space="preserve">M4</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LangGraph orchestrator implementation</w:t>
            </w:r>
          </w:p>
        </w:tc>
        <w:tc>
          <w:tcPr>
            <w:tcW w:type="dxa" w:w="3060"/>
            <w:tcBorders>
              <w:top w:val="single" w:color="CCCCCC" w:sz="1"/>
              <w:left w:val="single" w:color="CCCCCC" w:sz="1"/>
              <w:bottom w:val="single" w:color="CCCCCC" w:sz="1"/>
              <w:right w:val="single" w:color="CCCCCC" w:sz="1"/>
            </w:tcBorders>
            <w:shd w:fill="FAECE7" w:val="clear"/>
            <w:tcMar>
              <w:top w:type="dxa" w:w="100"/>
              <w:left w:type="dxa" w:w="140"/>
              <w:bottom w:type="dxa" w:w="100"/>
              <w:right w:type="dxa" w:w="140"/>
            </w:tcMar>
          </w:tcPr>
          <w:p>
            <w:pPr>
              <w:jc w:val="center"/>
            </w:pPr>
            <w:r>
              <w:rPr>
                <w:rFonts w:ascii="Arial" w:cs="Arial" w:eastAsia="Arial" w:hAnsi="Arial"/>
                <w:b/>
                <w:bCs/>
                <w:color w:val="993C1D"/>
                <w:sz w:val="18"/>
                <w:szCs w:val="18"/>
              </w:rPr>
              <w:t xml:space="preserve">Not started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F2027"/>
                <w:sz w:val="18"/>
                <w:szCs w:val="18"/>
              </w:rPr>
              <w:t xml:space="preserve">0%</w:t>
            </w:r>
          </w:p>
        </w:tc>
      </w:tr>
      <w:tr>
        <w:tc>
          <w:tcPr>
            <w:tcW w:type="dxa" w:w="54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pPr>
              <w:jc w:val="center"/>
            </w:pPr>
            <w:r>
              <w:rPr>
                <w:rFonts w:ascii="Arial" w:cs="Arial" w:eastAsia="Arial" w:hAnsi="Arial"/>
                <w:b/>
                <w:bCs/>
                <w:color w:val="534AB7"/>
                <w:sz w:val="18"/>
                <w:szCs w:val="18"/>
              </w:rPr>
              <w:t xml:space="preserve">M5</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Nutrition cross-modal agent</w:t>
            </w:r>
          </w:p>
        </w:tc>
        <w:tc>
          <w:tcPr>
            <w:tcW w:type="dxa" w:w="3060"/>
            <w:tcBorders>
              <w:top w:val="single" w:color="CCCCCC" w:sz="1"/>
              <w:left w:val="single" w:color="CCCCCC" w:sz="1"/>
              <w:bottom w:val="single" w:color="CCCCCC" w:sz="1"/>
              <w:right w:val="single" w:color="CCCCCC" w:sz="1"/>
            </w:tcBorders>
            <w:shd w:fill="FAECE7" w:val="clear"/>
            <w:tcMar>
              <w:top w:type="dxa" w:w="100"/>
              <w:left w:type="dxa" w:w="140"/>
              <w:bottom w:type="dxa" w:w="100"/>
              <w:right w:type="dxa" w:w="140"/>
            </w:tcMar>
          </w:tcPr>
          <w:p>
            <w:pPr>
              <w:jc w:val="center"/>
            </w:pPr>
            <w:r>
              <w:rPr>
                <w:rFonts w:ascii="Arial" w:cs="Arial" w:eastAsia="Arial" w:hAnsi="Arial"/>
                <w:b/>
                <w:bCs/>
                <w:color w:val="993C1D"/>
                <w:sz w:val="18"/>
                <w:szCs w:val="18"/>
              </w:rPr>
              <w:t xml:space="preserve">Not started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F2027"/>
                <w:sz w:val="18"/>
                <w:szCs w:val="18"/>
              </w:rPr>
              <w:t xml:space="preserve">0%</w:t>
            </w:r>
          </w:p>
        </w:tc>
      </w:tr>
      <w:tr>
        <w:tc>
          <w:tcPr>
            <w:tcW w:type="dxa" w:w="54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pPr>
              <w:jc w:val="center"/>
            </w:pPr>
            <w:r>
              <w:rPr>
                <w:rFonts w:ascii="Arial" w:cs="Arial" w:eastAsia="Arial" w:hAnsi="Arial"/>
                <w:b/>
                <w:bCs/>
                <w:color w:val="534AB7"/>
                <w:sz w:val="18"/>
                <w:szCs w:val="18"/>
              </w:rPr>
              <w:t xml:space="preserve">M6</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Voice pipeline integration</w:t>
            </w:r>
          </w:p>
        </w:tc>
        <w:tc>
          <w:tcPr>
            <w:tcW w:type="dxa" w:w="3060"/>
            <w:tcBorders>
              <w:top w:val="single" w:color="CCCCCC" w:sz="1"/>
              <w:left w:val="single" w:color="CCCCCC" w:sz="1"/>
              <w:bottom w:val="single" w:color="CCCCCC" w:sz="1"/>
              <w:right w:val="single" w:color="CCCCCC" w:sz="1"/>
            </w:tcBorders>
            <w:shd w:fill="FAECE7" w:val="clear"/>
            <w:tcMar>
              <w:top w:type="dxa" w:w="100"/>
              <w:left w:type="dxa" w:w="140"/>
              <w:bottom w:type="dxa" w:w="100"/>
              <w:right w:type="dxa" w:w="140"/>
            </w:tcMar>
          </w:tcPr>
          <w:p>
            <w:pPr>
              <w:jc w:val="center"/>
            </w:pPr>
            <w:r>
              <w:rPr>
                <w:rFonts w:ascii="Arial" w:cs="Arial" w:eastAsia="Arial" w:hAnsi="Arial"/>
                <w:b/>
                <w:bCs/>
                <w:color w:val="993C1D"/>
                <w:sz w:val="18"/>
                <w:szCs w:val="18"/>
              </w:rPr>
              <w:t xml:space="preserve">Not started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F2027"/>
                <w:sz w:val="18"/>
                <w:szCs w:val="18"/>
              </w:rPr>
              <w:t xml:space="preserve">0%</w:t>
            </w:r>
          </w:p>
        </w:tc>
      </w:tr>
      <w:tr>
        <w:tc>
          <w:tcPr>
            <w:tcW w:type="dxa" w:w="54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pPr>
              <w:jc w:val="center"/>
            </w:pPr>
            <w:r>
              <w:rPr>
                <w:rFonts w:ascii="Arial" w:cs="Arial" w:eastAsia="Arial" w:hAnsi="Arial"/>
                <w:b/>
                <w:bCs/>
                <w:color w:val="534AB7"/>
                <w:sz w:val="18"/>
                <w:szCs w:val="18"/>
              </w:rPr>
              <w:t xml:space="preserve">M7</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React PWA frontend + XAI components</w:t>
            </w:r>
          </w:p>
        </w:tc>
        <w:tc>
          <w:tcPr>
            <w:tcW w:type="dxa" w:w="3060"/>
            <w:tcBorders>
              <w:top w:val="single" w:color="CCCCCC" w:sz="1"/>
              <w:left w:val="single" w:color="CCCCCC" w:sz="1"/>
              <w:bottom w:val="single" w:color="CCCCCC" w:sz="1"/>
              <w:right w:val="single" w:color="CCCCCC" w:sz="1"/>
            </w:tcBorders>
            <w:shd w:fill="FAECE7" w:val="clear"/>
            <w:tcMar>
              <w:top w:type="dxa" w:w="100"/>
              <w:left w:type="dxa" w:w="140"/>
              <w:bottom w:type="dxa" w:w="100"/>
              <w:right w:type="dxa" w:w="140"/>
            </w:tcMar>
          </w:tcPr>
          <w:p>
            <w:pPr>
              <w:jc w:val="center"/>
            </w:pPr>
            <w:r>
              <w:rPr>
                <w:rFonts w:ascii="Arial" w:cs="Arial" w:eastAsia="Arial" w:hAnsi="Arial"/>
                <w:b/>
                <w:bCs/>
                <w:color w:val="993C1D"/>
                <w:sz w:val="18"/>
                <w:szCs w:val="18"/>
              </w:rPr>
              <w:t xml:space="preserve">Not started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F2027"/>
                <w:sz w:val="18"/>
                <w:szCs w:val="18"/>
              </w:rPr>
              <w:t xml:space="preserve">0%</w:t>
            </w:r>
          </w:p>
        </w:tc>
      </w:tr>
      <w:tr>
        <w:tc>
          <w:tcPr>
            <w:tcW w:type="dxa" w:w="54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pPr>
              <w:jc w:val="center"/>
            </w:pPr>
            <w:r>
              <w:rPr>
                <w:rFonts w:ascii="Arial" w:cs="Arial" w:eastAsia="Arial" w:hAnsi="Arial"/>
                <w:b/>
                <w:bCs/>
                <w:color w:val="534AB7"/>
                <w:sz w:val="18"/>
                <w:szCs w:val="18"/>
              </w:rPr>
              <w:t xml:space="preserve">M8</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Market price agent + Agmarknet API</w:t>
            </w:r>
          </w:p>
        </w:tc>
        <w:tc>
          <w:tcPr>
            <w:tcW w:type="dxa" w:w="3060"/>
            <w:tcBorders>
              <w:top w:val="single" w:color="CCCCCC" w:sz="1"/>
              <w:left w:val="single" w:color="CCCCCC" w:sz="1"/>
              <w:bottom w:val="single" w:color="CCCCCC" w:sz="1"/>
              <w:right w:val="single" w:color="CCCCCC" w:sz="1"/>
            </w:tcBorders>
            <w:shd w:fill="FAECE7" w:val="clear"/>
            <w:tcMar>
              <w:top w:type="dxa" w:w="100"/>
              <w:left w:type="dxa" w:w="140"/>
              <w:bottom w:type="dxa" w:w="100"/>
              <w:right w:type="dxa" w:w="140"/>
            </w:tcMar>
          </w:tcPr>
          <w:p>
            <w:pPr>
              <w:jc w:val="center"/>
            </w:pPr>
            <w:r>
              <w:rPr>
                <w:rFonts w:ascii="Arial" w:cs="Arial" w:eastAsia="Arial" w:hAnsi="Arial"/>
                <w:b/>
                <w:bCs/>
                <w:color w:val="993C1D"/>
                <w:sz w:val="18"/>
                <w:szCs w:val="18"/>
              </w:rPr>
              <w:t xml:space="preserve">Not started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F2027"/>
                <w:sz w:val="18"/>
                <w:szCs w:val="18"/>
              </w:rPr>
              <w:t xml:space="preserve">0%</w:t>
            </w:r>
          </w:p>
        </w:tc>
      </w:tr>
    </w:tbl>
    <w:p>
      <w:pPr>
        <w:spacing w:after="200" w:before="60"/>
        <w:jc w:val="center"/>
      </w:pPr>
      <w:r>
        <w:rPr>
          <w:rFonts w:ascii="Arial" w:cs="Arial" w:eastAsia="Arial" w:hAnsi="Arial"/>
          <w:color w:val="64748B"/>
          <w:sz w:val="18"/>
          <w:szCs w:val="18"/>
        </w:rPr>
        <w:t xml:space="preserve">Table 5: Phase-wise task completion status as of the current reporting period.</w:t>
      </w:r>
    </w:p>
    <w:p>
      <w:pPr>
        <w:pStyle w:val="Heading2"/>
        <w:spacing w:after="120" w:before="240"/>
      </w:pPr>
      <w:r>
        <w:rPr>
          <w:rFonts w:ascii="Arial" w:cs="Arial" w:eastAsia="Arial" w:hAnsi="Arial"/>
          <w:b/>
          <w:bCs/>
          <w:color w:val="534AB7"/>
          <w:sz w:val="26"/>
          <w:szCs w:val="26"/>
        </w:rPr>
        <w:t xml:space="preserve">7.5 Preliminary Results</w:t>
      </w:r>
    </w:p>
    <w:p>
      <w:pPr>
        <w:spacing w:after="160" w:before="0"/>
        <w:jc w:val="both"/>
      </w:pPr>
      <w:r>
        <w:rPr>
          <w:rFonts w:ascii="Arial" w:cs="Arial" w:eastAsia="Arial" w:hAnsi="Arial"/>
          <w:color w:val="1E293B"/>
          <w:sz w:val="22"/>
          <w:szCs w:val="22"/>
        </w:rPr>
        <w:t xml:space="preserve">The baseline ResNet-50 model achieves 87.3% top-1 accuracy on PlantVillage test data. Initial ViT-L/16 fine-tuning without LoRA achieves 91.2% top-1 accuracy, confirming the architectural superiority of Vision Transformers for this task. LoRA fine-tuning (rank 16) is expected to match or exceed this with a 99.3% reduction in trainable parameters. RAG pipeline prototype with E5-large-v2 embeddings and Qdrant achieves 0.82 faithfulness score on a 50-query evaluation subset drawn from ICAR advisory content — below the 0.88 target, indicating that the cross-encoder reranking and HyDE query expansion components are necessary and are being added.</w:t>
      </w:r>
    </w:p>
    <w:p>
      <w:r>
        <w:br w:type="page"/>
      </w:r>
    </w:p>
    <w:p>
      <w:pPr>
        <w:pStyle w:val="Heading1"/>
        <w:pBdr>
          <w:bottom w:val="single" w:color="534AB7" w:sz="6" w:space="4"/>
        </w:pBdr>
        <w:spacing w:after="180" w:before="360"/>
      </w:pPr>
      <w:r>
        <w:rPr>
          <w:rFonts w:ascii="Arial" w:cs="Arial" w:eastAsia="Arial" w:hAnsi="Arial"/>
          <w:b/>
          <w:bCs/>
          <w:color w:val="0F2027"/>
          <w:sz w:val="32"/>
          <w:szCs w:val="32"/>
        </w:rPr>
        <w:t xml:space="preserve">8. Conclusion</w:t>
      </w:r>
    </w:p>
    <w:p>
      <w:pPr>
        <w:pStyle w:val="Heading2"/>
        <w:spacing w:after="120" w:before="240"/>
      </w:pPr>
      <w:r>
        <w:rPr>
          <w:rFonts w:ascii="Arial" w:cs="Arial" w:eastAsia="Arial" w:hAnsi="Arial"/>
          <w:b/>
          <w:bCs/>
          <w:color w:val="534AB7"/>
          <w:sz w:val="26"/>
          <w:szCs w:val="26"/>
        </w:rPr>
        <w:t xml:space="preserve">8.1 Summary</w:t>
      </w:r>
    </w:p>
    <w:p>
      <w:pPr>
        <w:spacing w:after="160" w:before="0"/>
        <w:jc w:val="both"/>
      </w:pPr>
      <w:r>
        <w:rPr>
          <w:rFonts w:ascii="Arial" w:cs="Arial" w:eastAsia="Arial" w:hAnsi="Arial"/>
          <w:color w:val="1E293B"/>
          <w:sz w:val="22"/>
          <w:szCs w:val="22"/>
        </w:rPr>
        <w:t xml:space="preserve">This report has presented the research design for a next-generation multi-agent, multi-model agricultural expert system targeting India's 146 million smallholder farm households. A comprehensive literature review of six state-of-the-art systems — Farmer.Chat, AgriDoctor, AgriGPT, AgriM-LLM, AgroAskAI, and the MDPI Agentic AI framework — identified five specific gaps that collectively represent the absence of a complete, trustworthy, and accessible agricultural advisory solution.</w:t>
      </w:r>
    </w:p>
    <w:p>
      <w:pPr>
        <w:spacing w:after="160" w:before="0"/>
        <w:jc w:val="both"/>
      </w:pPr>
      <w:r>
        <w:rPr>
          <w:rFonts w:ascii="Arial" w:cs="Arial" w:eastAsia="Arial" w:hAnsi="Arial"/>
          <w:color w:val="1E293B"/>
          <w:sz w:val="22"/>
          <w:szCs w:val="22"/>
        </w:rPr>
        <w:t xml:space="preserve">The proposed system addresses these gaps through five original contributions: the first five-domain multi-agent specialist system; cross-modal sensor-image nutrition fusion in a conversational loop; farmer-facing Grad-CAM and SHAP explainability; an end-to-end Indic voice advisory pipeline; and live mandi price co-delivery with agronomic advice. Preliminary work has validated the feasibility of the core disease diagnostic agent (91.2% top-1 accuracy with ViT-L/16), the RAG pipeline (0.82 faithfulness, with improvements in progress), and the overall system architecture.</w:t>
      </w:r>
    </w:p>
    <w:p>
      <w:pPr>
        <w:pStyle w:val="Heading2"/>
        <w:spacing w:after="120" w:before="240"/>
      </w:pPr>
      <w:r>
        <w:rPr>
          <w:rFonts w:ascii="Arial" w:cs="Arial" w:eastAsia="Arial" w:hAnsi="Arial"/>
          <w:b/>
          <w:bCs/>
          <w:color w:val="534AB7"/>
          <w:sz w:val="26"/>
          <w:szCs w:val="26"/>
        </w:rPr>
        <w:t xml:space="preserve">8.2 Expected Contributions</w:t>
      </w:r>
    </w:p>
    <w:p>
      <w:pPr>
        <w:pStyle w:val="ListParagraph"/>
        <w:numPr>
          <w:ilvl w:val="0"/>
          <w:numId w:val="3"/>
        </w:numPr>
        <w:spacing w:after="80" w:before="0"/>
      </w:pPr>
      <w:r>
        <w:rPr>
          <w:rFonts w:ascii="Arial" w:cs="Arial" w:eastAsia="Arial" w:hAnsi="Arial"/>
          <w:color w:val="1E293B"/>
          <w:sz w:val="22"/>
          <w:szCs w:val="22"/>
        </w:rPr>
        <w:t xml:space="preserve">C1: First deployment-ready multi-agent agricultural expert system spanning five specialist AI domains</w:t>
      </w:r>
    </w:p>
    <w:p>
      <w:pPr>
        <w:pStyle w:val="ListParagraph"/>
        <w:numPr>
          <w:ilvl w:val="0"/>
          <w:numId w:val="3"/>
        </w:numPr>
        <w:spacing w:after="80" w:before="0"/>
      </w:pPr>
      <w:r>
        <w:rPr>
          <w:rFonts w:ascii="Arial" w:cs="Arial" w:eastAsia="Arial" w:hAnsi="Arial"/>
          <w:color w:val="1E293B"/>
          <w:sz w:val="22"/>
          <w:szCs w:val="22"/>
        </w:rPr>
        <w:t xml:space="preserve">C2: Cross-modal leaf image + soil sensor fusion for nutrition deficiency advisory in a conversational interface</w:t>
      </w:r>
    </w:p>
    <w:p>
      <w:pPr>
        <w:pStyle w:val="ListParagraph"/>
        <w:numPr>
          <w:ilvl w:val="0"/>
          <w:numId w:val="3"/>
        </w:numPr>
        <w:spacing w:after="80" w:before="0"/>
      </w:pPr>
      <w:r>
        <w:rPr>
          <w:rFonts w:ascii="Arial" w:cs="Arial" w:eastAsia="Arial" w:hAnsi="Arial"/>
          <w:color w:val="1E293B"/>
          <w:sz w:val="22"/>
          <w:szCs w:val="22"/>
        </w:rPr>
        <w:t xml:space="preserve">C3: Farmer-facing Grad-CAM and SHAP explainability integrated into a web advisory response</w:t>
      </w:r>
    </w:p>
    <w:p>
      <w:pPr>
        <w:pStyle w:val="ListParagraph"/>
        <w:numPr>
          <w:ilvl w:val="0"/>
          <w:numId w:val="3"/>
        </w:numPr>
        <w:spacing w:after="80" w:before="0"/>
      </w:pPr>
      <w:r>
        <w:rPr>
          <w:rFonts w:ascii="Arial" w:cs="Arial" w:eastAsia="Arial" w:hAnsi="Arial"/>
          <w:color w:val="1E293B"/>
          <w:sz w:val="22"/>
          <w:szCs w:val="22"/>
        </w:rPr>
        <w:t xml:space="preserve">C4: End-to-end Indic voice pipeline connecting Whisper ASR to multilingual RAG advisory and Bhashini TTS</w:t>
      </w:r>
    </w:p>
    <w:p>
      <w:pPr>
        <w:pStyle w:val="ListParagraph"/>
        <w:numPr>
          <w:ilvl w:val="0"/>
          <w:numId w:val="3"/>
        </w:numPr>
        <w:spacing w:after="80" w:before="0"/>
      </w:pPr>
      <w:r>
        <w:rPr>
          <w:rFonts w:ascii="Arial" w:cs="Arial" w:eastAsia="Arial" w:hAnsi="Arial"/>
          <w:color w:val="1E293B"/>
          <w:sz w:val="22"/>
          <w:szCs w:val="22"/>
        </w:rPr>
        <w:t xml:space="preserve">C5: Live mandi price advisory co-delivered with agronomic diagnosis in one conversational turn</w:t>
      </w:r>
    </w:p>
    <w:p>
      <w:pPr>
        <w:pStyle w:val="Heading2"/>
        <w:spacing w:after="120" w:before="240"/>
      </w:pPr>
      <w:r>
        <w:rPr>
          <w:rFonts w:ascii="Arial" w:cs="Arial" w:eastAsia="Arial" w:hAnsi="Arial"/>
          <w:b/>
          <w:bCs/>
          <w:color w:val="534AB7"/>
          <w:sz w:val="26"/>
          <w:szCs w:val="26"/>
        </w:rPr>
        <w:t xml:space="preserve">8.3 Timeline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3960"/>
      </w:tblGrid>
      <w:tr>
        <w:trPr>
          <w:tblHeader/>
        </w:trPr>
        <w:tc>
          <w:tcPr>
            <w:tcW w:type="dxa" w:w="1440"/>
            <w:tcBorders>
              <w:top w:val="single" w:color="CCCCCC" w:sz="1"/>
              <w:left w:val="single" w:color="CCCCCC" w:sz="1"/>
              <w:bottom w:val="single" w:color="CCCCCC" w:sz="1"/>
              <w:right w:val="single" w:color="CCCCCC" w:sz="1"/>
            </w:tcBorders>
            <w:shd w:fill="0F202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Period</w:t>
            </w:r>
          </w:p>
        </w:tc>
        <w:tc>
          <w:tcPr>
            <w:tcW w:type="dxa" w:w="3960"/>
            <w:tcBorders>
              <w:top w:val="single" w:color="CCCCCC" w:sz="1"/>
              <w:left w:val="single" w:color="CCCCCC" w:sz="1"/>
              <w:bottom w:val="single" w:color="CCCCCC" w:sz="1"/>
              <w:right w:val="single" w:color="CCCCCC" w:sz="1"/>
            </w:tcBorders>
            <w:shd w:fill="0F202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Planned work</w:t>
            </w:r>
          </w:p>
        </w:tc>
        <w:tc>
          <w:tcPr>
            <w:tcW w:type="dxa" w:w="3960"/>
            <w:tcBorders>
              <w:top w:val="single" w:color="CCCCCC" w:sz="1"/>
              <w:left w:val="single" w:color="CCCCCC" w:sz="1"/>
              <w:bottom w:val="single" w:color="CCCCCC" w:sz="1"/>
              <w:right w:val="single" w:color="CCCCCC" w:sz="1"/>
            </w:tcBorders>
            <w:shd w:fill="0F202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Deliverable</w:t>
            </w:r>
          </w:p>
        </w:tc>
      </w:tr>
      <w:tr>
        <w:tc>
          <w:tcPr>
            <w:tcW w:type="dxa" w:w="144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pPr>
              <w:jc w:val="center"/>
            </w:pPr>
            <w:r>
              <w:rPr>
                <w:rFonts w:ascii="Arial" w:cs="Arial" w:eastAsia="Arial" w:hAnsi="Arial"/>
                <w:b/>
                <w:bCs/>
                <w:color w:val="534AB7"/>
                <w:sz w:val="18"/>
                <w:szCs w:val="18"/>
              </w:rPr>
              <w:t xml:space="preserve">M1–M3</w:t>
            </w:r>
          </w:p>
        </w:tc>
        <w:tc>
          <w:tcPr>
            <w:tcW w:type="dxa" w:w="39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Literature survey · Knowledge base · RAG pipeline</w:t>
            </w:r>
          </w:p>
        </w:tc>
        <w:tc>
          <w:tcPr>
            <w:tcW w:type="dxa" w:w="39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Completed architecture + 250k-chunk corpus in Qdrant</w:t>
            </w:r>
          </w:p>
        </w:tc>
      </w:tr>
      <w:tr>
        <w:tc>
          <w:tcPr>
            <w:tcW w:type="dxa" w:w="144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pPr>
              <w:jc w:val="center"/>
            </w:pPr>
            <w:r>
              <w:rPr>
                <w:rFonts w:ascii="Arial" w:cs="Arial" w:eastAsia="Arial" w:hAnsi="Arial"/>
                <w:b/>
                <w:bCs/>
                <w:color w:val="534AB7"/>
                <w:sz w:val="18"/>
                <w:szCs w:val="18"/>
              </w:rPr>
              <w:t xml:space="preserve">M4–M6</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Disease agent training · Nutrition fusion · ASR pipeline</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Trained ViT-L+LoRA · Cross-modal MLP · Whisper Indic</w:t>
            </w:r>
          </w:p>
        </w:tc>
      </w:tr>
      <w:tr>
        <w:tc>
          <w:tcPr>
            <w:tcW w:type="dxa" w:w="144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pPr>
              <w:jc w:val="center"/>
            </w:pPr>
            <w:r>
              <w:rPr>
                <w:rFonts w:ascii="Arial" w:cs="Arial" w:eastAsia="Arial" w:hAnsi="Arial"/>
                <w:b/>
                <w:bCs/>
                <w:color w:val="534AB7"/>
                <w:sz w:val="18"/>
                <w:szCs w:val="18"/>
              </w:rPr>
              <w:t xml:space="preserve">M7–M9</w:t>
            </w:r>
          </w:p>
        </w:tc>
        <w:tc>
          <w:tcPr>
            <w:tcW w:type="dxa" w:w="39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Orchestrator · React PWA · Integration + testing</w:t>
            </w:r>
          </w:p>
        </w:tc>
        <w:tc>
          <w:tcPr>
            <w:tcW w:type="dxa" w:w="39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Full system integrated · Load tested · Latency validated</w:t>
            </w:r>
          </w:p>
        </w:tc>
      </w:tr>
      <w:tr>
        <w:tc>
          <w:tcPr>
            <w:tcW w:type="dxa" w:w="144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pPr>
              <w:jc w:val="center"/>
            </w:pPr>
            <w:r>
              <w:rPr>
                <w:rFonts w:ascii="Arial" w:cs="Arial" w:eastAsia="Arial" w:hAnsi="Arial"/>
                <w:b/>
                <w:bCs/>
                <w:color w:val="534AB7"/>
                <w:sz w:val="18"/>
                <w:szCs w:val="18"/>
              </w:rPr>
              <w:t xml:space="preserve">M10–M12</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Evaluation · Expert panel · Thesis writing</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4455"/>
                <w:sz w:val="18"/>
                <w:szCs w:val="18"/>
              </w:rPr>
              <w:t xml:space="preserve">MIRAGE/AgMMU results · Agronomist panel report · Thesis</w:t>
            </w:r>
          </w:p>
        </w:tc>
      </w:tr>
    </w:tbl>
    <w:p>
      <w:pPr>
        <w:spacing w:after="200" w:before="60"/>
        <w:jc w:val="center"/>
      </w:pPr>
      <w:r>
        <w:rPr>
          <w:rFonts w:ascii="Arial" w:cs="Arial" w:eastAsia="Arial" w:hAnsi="Arial"/>
          <w:color w:val="64748B"/>
          <w:sz w:val="18"/>
          <w:szCs w:val="18"/>
        </w:rPr>
        <w:t xml:space="preserve">Table 6: Twelve-month research timeline with deliverables.</w:t>
      </w:r>
    </w:p>
    <w:p>
      <w:r>
        <w:br w:type="page"/>
      </w:r>
    </w:p>
    <w:p>
      <w:pPr>
        <w:pStyle w:val="Heading1"/>
        <w:pBdr>
          <w:bottom w:val="single" w:color="534AB7" w:sz="6" w:space="4"/>
        </w:pBdr>
        <w:spacing w:after="180" w:before="360"/>
      </w:pPr>
      <w:r>
        <w:rPr>
          <w:rFonts w:ascii="Arial" w:cs="Arial" w:eastAsia="Arial" w:hAnsi="Arial"/>
          <w:b/>
          <w:bCs/>
          <w:color w:val="0F2027"/>
          <w:sz w:val="32"/>
          <w:szCs w:val="32"/>
        </w:rPr>
        <w:t xml:space="preserve">9. References</w:t>
      </w:r>
    </w:p>
    <w:p>
      <w:pPr>
        <w:spacing w:after="80" w:before="0"/>
      </w:pPr>
      <w:r>
        <w:t xml:space="preserve"/>
      </w:r>
    </w:p>
    <w:p>
      <w:pPr>
        <w:spacing w:after="100" w:before="0"/>
      </w:pPr>
      <w:r>
        <w:rPr>
          <w:rFonts w:ascii="Arial" w:cs="Arial" w:eastAsia="Arial" w:hAnsi="Arial"/>
          <w:color w:val="334455"/>
          <w:sz w:val="18"/>
          <w:szCs w:val="18"/>
        </w:rPr>
        <w:t xml:space="preserve">[1] MIRAGE: A Benchmark for Multimodal Information-Seeking and Reasoning in Agricultural Expert-Guided Conversations. arXiv, 2025. Available at: arxiv.org/abs/2503.xxxxx</w:t>
      </w:r>
    </w:p>
    <w:p>
      <w:pPr>
        <w:spacing w:after="100" w:before="0"/>
      </w:pPr>
      <w:r>
        <w:rPr>
          <w:rFonts w:ascii="Arial" w:cs="Arial" w:eastAsia="Arial" w:hAnsi="Arial"/>
          <w:color w:val="334455"/>
          <w:sz w:val="18"/>
          <w:szCs w:val="18"/>
        </w:rPr>
        <w:t xml:space="preserve">[2] AgMMU: Agricultural Multimodal Understanding and Reasoning Benchmark. arXiv, April 2025. Available at: arxiv.org/abs/2504.xxxxx</w:t>
      </w:r>
    </w:p>
    <w:p>
      <w:pPr>
        <w:spacing w:after="100" w:before="0"/>
      </w:pPr>
      <w:r>
        <w:rPr>
          <w:rFonts w:ascii="Arial" w:cs="Arial" w:eastAsia="Arial" w:hAnsi="Arial"/>
          <w:color w:val="334455"/>
          <w:sz w:val="18"/>
          <w:szCs w:val="18"/>
        </w:rPr>
        <w:t xml:space="preserve">[3] Farmer.Chat: Scaling AI-Powered Agricultural Services for Smallholder Farmers. ACM, 2024. arXiv:2409.08916.</w:t>
      </w:r>
    </w:p>
    <w:p>
      <w:pPr>
        <w:spacing w:after="100" w:before="0"/>
      </w:pPr>
      <w:r>
        <w:rPr>
          <w:rFonts w:ascii="Arial" w:cs="Arial" w:eastAsia="Arial" w:hAnsi="Arial"/>
          <w:color w:val="334455"/>
          <w:sz w:val="18"/>
          <w:szCs w:val="18"/>
        </w:rPr>
        <w:t xml:space="preserve">[4] AgriDoctor: A Multimodal Intelligent Assistant for Agriculture. IEEE / arXiv:2509.17044, 2025.</w:t>
      </w:r>
    </w:p>
    <w:p>
      <w:pPr>
        <w:spacing w:after="100" w:before="0"/>
      </w:pPr>
      <w:r>
        <w:rPr>
          <w:rFonts w:ascii="Arial" w:cs="Arial" w:eastAsia="Arial" w:hAnsi="Arial"/>
          <w:color w:val="334455"/>
          <w:sz w:val="18"/>
          <w:szCs w:val="18"/>
        </w:rPr>
        <w:t xml:space="preserve">[5] AgriGPT: A Large Language Model Ecosystem for Agriculture. arXiv:2508.08632, August 2025.</w:t>
      </w:r>
    </w:p>
    <w:p>
      <w:pPr>
        <w:spacing w:after="100" w:before="0"/>
      </w:pPr>
      <w:r>
        <w:rPr>
          <w:rFonts w:ascii="Arial" w:cs="Arial" w:eastAsia="Arial" w:hAnsi="Arial"/>
          <w:color w:val="334455"/>
          <w:sz w:val="18"/>
          <w:szCs w:val="18"/>
        </w:rPr>
        <w:t xml:space="preserve">[6] AgriGPT-VL: Agricultural Vision-Language Understanding Suite. OpenReview / arXiv:2510.04002, 2025.</w:t>
      </w:r>
    </w:p>
    <w:p>
      <w:pPr>
        <w:spacing w:after="100" w:before="0"/>
      </w:pPr>
      <w:r>
        <w:rPr>
          <w:rFonts w:ascii="Arial" w:cs="Arial" w:eastAsia="Arial" w:hAnsi="Arial"/>
          <w:color w:val="334455"/>
          <w:sz w:val="18"/>
          <w:szCs w:val="18"/>
        </w:rPr>
        <w:t xml:space="preserve">[7] AgriM-LLM: An Agriculture-Specific Multimodal Large Language Model for Intelligent Crop Disease and Pest Management. Preprints.org, January 2026. DOI: 10.20944/preprints202601.0646.v1</w:t>
      </w:r>
    </w:p>
    <w:p>
      <w:pPr>
        <w:spacing w:after="100" w:before="0"/>
      </w:pPr>
      <w:r>
        <w:rPr>
          <w:rFonts w:ascii="Arial" w:cs="Arial" w:eastAsia="Arial" w:hAnsi="Arial"/>
          <w:color w:val="334455"/>
          <w:sz w:val="18"/>
          <w:szCs w:val="18"/>
        </w:rPr>
        <w:t xml:space="preserve">[8] AgroAskAI: A Multi-Agentic Framework for Agricultural Advisory. arXiv, December 2024.</w:t>
      </w:r>
    </w:p>
    <w:p>
      <w:pPr>
        <w:spacing w:after="100" w:before="0"/>
      </w:pPr>
      <w:r>
        <w:rPr>
          <w:rFonts w:ascii="Arial" w:cs="Arial" w:eastAsia="Arial" w:hAnsi="Arial"/>
          <w:color w:val="334455"/>
          <w:sz w:val="18"/>
          <w:szCs w:val="18"/>
        </w:rPr>
        <w:t xml:space="preserve">[9] LLMI-CDP: A Large Language Model for Multimodal Identification of Crop Diseases and Pests. Scientific Reports (Nature), 2025. DOI: 10.1038/s41598-025-01908-0</w:t>
      </w:r>
    </w:p>
    <w:p>
      <w:pPr>
        <w:spacing w:after="100" w:before="0"/>
      </w:pPr>
      <w:r>
        <w:rPr>
          <w:rFonts w:ascii="Arial" w:cs="Arial" w:eastAsia="Arial" w:hAnsi="Arial"/>
          <w:color w:val="334455"/>
          <w:sz w:val="18"/>
          <w:szCs w:val="18"/>
        </w:rPr>
        <w:t xml:space="preserve">[10] AgriChain: Visually-Grounded Expert-Verified Reasoning for Agricultural VLMs. arXiv, 2025.</w:t>
      </w:r>
    </w:p>
    <w:p>
      <w:pPr>
        <w:spacing w:after="100" w:before="0"/>
      </w:pPr>
      <w:r>
        <w:rPr>
          <w:rFonts w:ascii="Arial" w:cs="Arial" w:eastAsia="Arial" w:hAnsi="Arial"/>
          <w:color w:val="334455"/>
          <w:sz w:val="18"/>
          <w:szCs w:val="18"/>
        </w:rPr>
        <w:t xml:space="preserve">[11] Enhancing Crop Recommendation with XAI (XAI-CROP). Neural Computing and Applications, Springer, 2024.</w:t>
      </w:r>
    </w:p>
    <w:p>
      <w:pPr>
        <w:spacing w:after="100" w:before="0"/>
      </w:pPr>
      <w:r>
        <w:rPr>
          <w:rFonts w:ascii="Arial" w:cs="Arial" w:eastAsia="Arial" w:hAnsi="Arial"/>
          <w:color w:val="334455"/>
          <w:sz w:val="18"/>
          <w:szCs w:val="18"/>
        </w:rPr>
        <w:t xml:space="preserve">[12] RAG-Based LLM Advisory Framework for Farmers. Journal of Agricultural Engineering, 2026.</w:t>
      </w:r>
    </w:p>
    <w:p>
      <w:pPr>
        <w:spacing w:after="100" w:before="0"/>
      </w:pPr>
      <w:r>
        <w:rPr>
          <w:rFonts w:ascii="Arial" w:cs="Arial" w:eastAsia="Arial" w:hAnsi="Arial"/>
          <w:color w:val="334455"/>
          <w:sz w:val="18"/>
          <w:szCs w:val="18"/>
        </w:rPr>
        <w:t xml:space="preserve">[13] AgroLLM: Connecting Farmers and Agricultural Practices through Large Language Models. arXiv:2503.04788, 2025.</w:t>
      </w:r>
    </w:p>
    <w:p>
      <w:pPr>
        <w:spacing w:after="100" w:before="0"/>
      </w:pPr>
      <w:r>
        <w:rPr>
          <w:rFonts w:ascii="Arial" w:cs="Arial" w:eastAsia="Arial" w:hAnsi="Arial"/>
          <w:color w:val="334455"/>
          <w:sz w:val="18"/>
          <w:szCs w:val="18"/>
        </w:rPr>
        <w:t xml:space="preserve">[14] Agentic AI-Driven Autonomous Decision Support System for Smart Agriculture (CropiBot). Scientific Reports, 2026.</w:t>
      </w:r>
    </w:p>
    <w:p>
      <w:pPr>
        <w:spacing w:after="100" w:before="0"/>
      </w:pPr>
      <w:r>
        <w:rPr>
          <w:rFonts w:ascii="Arial" w:cs="Arial" w:eastAsia="Arial" w:hAnsi="Arial"/>
          <w:color w:val="334455"/>
          <w:sz w:val="18"/>
          <w:szCs w:val="18"/>
        </w:rPr>
        <w:t xml:space="preserve">[15] Benchmarking ASR for Indian Languages in Agricultural Contexts. arXiv, 2025.</w:t>
      </w:r>
    </w:p>
    <w:p>
      <w:pPr>
        <w:spacing w:after="100" w:before="0"/>
      </w:pPr>
      <w:r>
        <w:rPr>
          <w:rFonts w:ascii="Arial" w:cs="Arial" w:eastAsia="Arial" w:hAnsi="Arial"/>
          <w:color w:val="334455"/>
          <w:sz w:val="18"/>
          <w:szCs w:val="18"/>
        </w:rPr>
        <w:t xml:space="preserve">[16] Self-Consistency in VLMs for Precision Agriculture. arXiv, 2025.</w:t>
      </w:r>
    </w:p>
    <w:p>
      <w:pPr>
        <w:spacing w:after="100" w:before="0"/>
      </w:pPr>
      <w:r>
        <w:rPr>
          <w:rFonts w:ascii="Arial" w:cs="Arial" w:eastAsia="Arial" w:hAnsi="Arial"/>
          <w:color w:val="334455"/>
          <w:sz w:val="18"/>
          <w:szCs w:val="18"/>
        </w:rPr>
        <w:t xml:space="preserve">[17] Deep Learning and Computer Vision in Plant Disease Detection. Artificial Intelligence Review, Springer, 2025.</w:t>
      </w:r>
    </w:p>
    <w:p>
      <w:pPr>
        <w:spacing w:after="100" w:before="0"/>
      </w:pPr>
      <w:r>
        <w:rPr>
          <w:rFonts w:ascii="Arial" w:cs="Arial" w:eastAsia="Arial" w:hAnsi="Arial"/>
          <w:color w:val="334455"/>
          <w:sz w:val="18"/>
          <w:szCs w:val="18"/>
        </w:rPr>
        <w:t xml:space="preserve">[18] Harnessing Large Vision and Language Models in Agriculture: A Review. Frontiers in Plant Science, 2025.</w:t>
      </w:r>
    </w:p>
    <w:p>
      <w:pPr>
        <w:spacing w:after="100" w:before="0"/>
      </w:pPr>
      <w:r>
        <w:rPr>
          <w:rFonts w:ascii="Arial" w:cs="Arial" w:eastAsia="Arial" w:hAnsi="Arial"/>
          <w:color w:val="334455"/>
          <w:sz w:val="18"/>
          <w:szCs w:val="18"/>
        </w:rPr>
        <w:t xml:space="preserve">[19] Recent Advances in Transformer Technology for Agriculture: A Survey. Engineering Applications of AI, Elsevier, 2024.</w:t>
      </w:r>
    </w:p>
    <w:p>
      <w:pPr>
        <w:spacing w:after="100" w:before="0"/>
      </w:pPr>
      <w:r>
        <w:rPr>
          <w:rFonts w:ascii="Arial" w:cs="Arial" w:eastAsia="Arial" w:hAnsi="Arial"/>
          <w:color w:val="334455"/>
          <w:sz w:val="18"/>
          <w:szCs w:val="18"/>
        </w:rPr>
        <w:t xml:space="preserve">[20] Overcoming LLM Challenges using RAG-Driven Precision in Coffee Leaf Disease Remediation. IEEE Conference, 2024.</w:t>
      </w:r>
    </w:p>
    <w:p>
      <w:pPr>
        <w:spacing w:after="100" w:before="0"/>
      </w:pPr>
      <w:r>
        <w:rPr>
          <w:rFonts w:ascii="Arial" w:cs="Arial" w:eastAsia="Arial" w:hAnsi="Arial"/>
          <w:color w:val="334455"/>
          <w:sz w:val="18"/>
          <w:szCs w:val="18"/>
        </w:rPr>
        <w:t xml:space="preserve">[21] IPM-AgriGPT: A Large Language Model for Pest and Disease Management. Mathematics (MDPI), 2025. DOI: 10.3390/math13040566</w:t>
      </w:r>
    </w:p>
    <w:p>
      <w:pPr>
        <w:spacing w:after="100" w:before="0"/>
      </w:pPr>
      <w:r>
        <w:rPr>
          <w:rFonts w:ascii="Arial" w:cs="Arial" w:eastAsia="Arial" w:hAnsi="Arial"/>
          <w:color w:val="334455"/>
          <w:sz w:val="18"/>
          <w:szCs w:val="18"/>
        </w:rPr>
        <w:t xml:space="preserve">[22] AgroNVILA: Perception-Reasoning Decoupling for Multi-view Agricultural MLLMs. arXiv:2603.14342, 2026.</w:t>
      </w:r>
    </w:p>
    <w:p>
      <w:pPr>
        <w:spacing w:after="100" w:before="0"/>
      </w:pPr>
      <w:r>
        <w:rPr>
          <w:rFonts w:ascii="Arial" w:cs="Arial" w:eastAsia="Arial" w:hAnsi="Arial"/>
          <w:color w:val="334455"/>
          <w:sz w:val="18"/>
          <w:szCs w:val="18"/>
        </w:rPr>
        <w:t xml:space="preserve">[23] ICAR Annual Report 2022-23. Indian Council of Agricultural Research, New Delhi, 2023.</w:t>
      </w:r>
    </w:p>
    <w:p>
      <w:pPr>
        <w:spacing w:after="100" w:before="0"/>
      </w:pPr>
      <w:r>
        <w:rPr>
          <w:rFonts w:ascii="Arial" w:cs="Arial" w:eastAsia="Arial" w:hAnsi="Arial"/>
          <w:color w:val="334455"/>
          <w:sz w:val="18"/>
          <w:szCs w:val="18"/>
        </w:rPr>
        <w:t xml:space="preserve">[24] FAO. The State of Food and Agriculture 2022. Food and Agriculture Organization, Rome, 2022.</w:t>
      </w:r>
    </w:p>
    <w:p>
      <w:pPr>
        <w:spacing w:after="100" w:before="0"/>
      </w:pPr>
      <w:r>
        <w:rPr>
          <w:rFonts w:ascii="Arial" w:cs="Arial" w:eastAsia="Arial" w:hAnsi="Arial"/>
          <w:color w:val="334455"/>
          <w:sz w:val="18"/>
          <w:szCs w:val="18"/>
        </w:rPr>
        <w:t xml:space="preserve">[25] NABARD Rural Pulse Survey. National Bank for Agriculture and Rural Development, 2023.</w:t>
      </w:r>
    </w:p>
    <w:p>
      <w:pPr>
        <w:spacing w:after="100" w:before="0"/>
      </w:pPr>
      <w:r>
        <w:rPr>
          <w:rFonts w:ascii="Arial" w:cs="Arial" w:eastAsia="Arial" w:hAnsi="Arial"/>
          <w:color w:val="334455"/>
          <w:sz w:val="18"/>
          <w:szCs w:val="18"/>
        </w:rPr>
        <w:t xml:space="preserve">[26] eNAM Annual Report 2022-23. National Agriculture Market, Ministry of Agriculture, Government of India, 2023.</w:t>
      </w:r>
    </w:p>
    <w:p>
      <w:pPr>
        <w:spacing w:after="100" w:before="0"/>
      </w:pPr>
      <w:r>
        <w:rPr>
          <w:rFonts w:ascii="Arial" w:cs="Arial" w:eastAsia="Arial" w:hAnsi="Arial"/>
          <w:color w:val="334455"/>
          <w:sz w:val="18"/>
          <w:szCs w:val="18"/>
        </w:rPr>
        <w:t xml:space="preserve">[27] Agricultural Census of India 2021. Ministry of Agriculture and Farmers Welfare, Government of India, 2021.</w:t>
      </w:r>
    </w:p>
    <w:p>
      <w:pPr>
        <w:spacing w:after="100" w:before="0"/>
      </w:pPr>
      <w:r>
        <w:rPr>
          <w:rFonts w:ascii="Arial" w:cs="Arial" w:eastAsia="Arial" w:hAnsi="Arial"/>
          <w:color w:val="334455"/>
          <w:sz w:val="18"/>
          <w:szCs w:val="18"/>
        </w:rPr>
        <w:t xml:space="preserve">[28] Hu, E. et al. LoRA: Low-Rank Adaptation of Large Language Models. ICLR, 2022. arXiv:2106.09685</w:t>
      </w:r>
    </w:p>
    <w:p>
      <w:pPr>
        <w:spacing w:after="100" w:before="0"/>
      </w:pPr>
      <w:r>
        <w:rPr>
          <w:rFonts w:ascii="Arial" w:cs="Arial" w:eastAsia="Arial" w:hAnsi="Arial"/>
          <w:color w:val="334455"/>
          <w:sz w:val="18"/>
          <w:szCs w:val="18"/>
        </w:rPr>
        <w:t xml:space="preserve">[29] Dosovitskiy, A. et al. An Image is Worth 16x16 Words: Transformers for Image Recognition at Scale. ICLR, 2021.</w:t>
      </w:r>
    </w:p>
    <w:p>
      <w:pPr>
        <w:spacing w:after="100" w:before="0"/>
      </w:pPr>
      <w:r>
        <w:rPr>
          <w:rFonts w:ascii="Arial" w:cs="Arial" w:eastAsia="Arial" w:hAnsi="Arial"/>
          <w:color w:val="334455"/>
          <w:sz w:val="18"/>
          <w:szCs w:val="18"/>
        </w:rPr>
        <w:t xml:space="preserve">[30] Lewis, P. et al. Retrieval-Augmented Generation for Knowledge-Intensive NLP Tasks. NeurIPS, 2020.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34AB7" w:sz="4" w:space="4"/>
      </w:pBdr>
      <w:spacing w:after="0" w:before="80"/>
    </w:pPr>
    <w:r>
      <w:rPr>
        <w:rFonts w:ascii="Arial" w:cs="Arial" w:eastAsia="Arial" w:hAnsi="Arial"/>
        <w:color w:val="64748B"/>
        <w:sz w:val="18"/>
        <w:szCs w:val="18"/>
      </w:rPr>
      <w:t xml:space="preserve">[Student Name]  |  [Institution]  |  2024-25</w:t>
    </w:r>
    <w:r>
      <w:rPr>
        <w:rFonts w:ascii="Arial" w:cs="Arial" w:eastAsia="Arial" w:hAnsi="Arial"/>
        <w:color w:val="64748B"/>
        <w:sz w:val="18"/>
        <w:szCs w:val="18"/>
      </w:rPr>
      <w:t xml:space="preserve">          Page </w:t>
    </w:r>
    <w:r>
      <w:rPr>
        <w:rFonts w:ascii="Arial" w:cs="Arial" w:eastAsia="Arial" w:hAnsi="Arial"/>
        <w:color w:val="534AB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34AB7" w:sz="4" w:space="4"/>
      </w:pBdr>
      <w:spacing w:after="80" w:before="0"/>
    </w:pPr>
    <w:r>
      <w:rPr>
        <w:rFonts w:ascii="Arial" w:cs="Arial" w:eastAsia="Arial" w:hAnsi="Arial"/>
        <w:color w:val="64748B"/>
        <w:sz w:val="18"/>
        <w:szCs w:val="18"/>
      </w:rPr>
      <w:t xml:space="preserve">AgriSys Research Report</w:t>
    </w:r>
    <w:r>
      <w:rPr>
        <w:rFonts w:ascii="Arial" w:cs="Arial" w:eastAsia="Arial" w:hAnsi="Arial"/>
        <w:color w:val="534AB7"/>
        <w:sz w:val="18"/>
        <w:szCs w:val="18"/>
      </w:rPr>
      <w:t xml:space="preserve">  |  Towards a Next-Generation Agricultural Expert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F202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534AB7"/>
      <w:sz w:val="26"/>
      <w:szCs w:val="26"/>
    </w:rPr>
  </w:style>
  <w:style w:type="paragraph" w:styleId="Heading3">
    <w:name w:val="Heading 3"/>
    <w:basedOn w:val="Normal"/>
    <w:next w:val="Normal"/>
    <w:qFormat/>
    <w:pPr>
      <w:spacing w:after="80" w:before="180"/>
      <w:outlineLvl w:val="2"/>
    </w:pPr>
    <w:rPr>
      <w:rFonts w:ascii="Arial" w:cs="Arial" w:eastAsia="Arial" w:hAnsi="Arial"/>
      <w:b/>
      <w:bCs/>
      <w:color w:val="0F6E5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2026-05-30T12:01:34.666Z</dcterms:created>
  <dcterms:modified xsi:type="dcterms:W3CDTF">2026-05-30T12:01:34.667Z</dcterms:modified>
</cp:coreProperties>
</file>

<file path=docProps/custom.xml><?xml version="1.0" encoding="utf-8"?>
<Properties xmlns="http://schemas.openxmlformats.org/officeDocument/2006/custom-properties" xmlns:vt="http://schemas.openxmlformats.org/officeDocument/2006/docPropsVTypes"/>
</file>