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c02u97jw78ce" w:id="0"/>
      <w:bookmarkEnd w:id="0"/>
      <w:r w:rsidDel="00000000" w:rsidR="00000000" w:rsidRPr="00000000">
        <w:rPr>
          <w:rFonts w:ascii="Roboto" w:cs="Roboto" w:eastAsia="Roboto" w:hAnsi="Roboto"/>
          <w:b w:val="1"/>
          <w:bCs w:val="1"/>
          <w:sz w:val="34"/>
          <w:szCs w:val="34"/>
          <w:rtl w:val="0"/>
        </w:rPr>
        <w:t xml:space="preserve">Part 1 – Problem Framing</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vasdsftj74a7" w:id="1"/>
      <w:bookmarkEnd w:id="1"/>
      <w:r w:rsidDel="00000000" w:rsidR="00000000" w:rsidRPr="00000000">
        <w:rPr>
          <w:rFonts w:ascii="Roboto" w:cs="Roboto" w:eastAsia="Roboto" w:hAnsi="Roboto"/>
          <w:b w:val="1"/>
          <w:bCs w:val="1"/>
          <w:sz w:val="34"/>
          <w:szCs w:val="34"/>
          <w:rtl w:val="0"/>
        </w:rPr>
        <w:t xml:space="preserve">1. What is the real business problem?</w:t>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CRO’s real problem is not just that overall win rate has dropped, but that they lack clear visibility into why deals are being won or lost across industries, regions, lead sources, stages, and deal sizes. Without this visibility, they cannot confidently decide whether to focus on pipeline quality, pricing,S competitive positioning, or sales execution, so improvement efforts risk being spread thin and reactive rather than targeted.</w:t>
      </w:r>
    </w:p>
    <w:p w:rsidR="00000000" w:rsidDel="00000000" w:rsidP="00000000" w:rsidRDefault="00000000" w:rsidRPr="00000000" w14:paraId="0000000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other words, the core issue is a decision intelligence gap: the organization has data about the pipeline, but it is not distilled into segment‑level insights and metrics that point to specific, high‑leverage actions to recover and sustain win rate.​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sz w:val="34"/>
          <w:szCs w:val="34"/>
        </w:rPr>
      </w:pPr>
      <w:bookmarkStart w:colFirst="0" w:colLast="0" w:name="_cd70f4ovg9ij" w:id="2"/>
      <w:bookmarkEnd w:id="2"/>
      <w:r w:rsidDel="00000000" w:rsidR="00000000" w:rsidRPr="00000000">
        <w:rPr>
          <w:rFonts w:ascii="Roboto" w:cs="Roboto" w:eastAsia="Roboto" w:hAnsi="Roboto"/>
          <w:b w:val="1"/>
          <w:bCs w:val="1"/>
          <w:sz w:val="34"/>
          <w:szCs w:val="34"/>
          <w:rtl w:val="0"/>
        </w:rPr>
        <w:t xml:space="preserve">2. What key questions should an AI system answer for the CRO?</w:t>
      </w:r>
    </w:p>
    <w:p w:rsidR="00000000" w:rsidDel="00000000" w:rsidP="00000000" w:rsidRDefault="00000000" w:rsidRPr="00000000" w14:paraId="0000000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effective AI‑driven sales intelligence system for the CRO should answer at least these questions:</w:t>
      </w:r>
    </w:p>
    <w:p w:rsidR="00000000" w:rsidDel="00000000" w:rsidP="00000000" w:rsidRDefault="00000000" w:rsidRPr="00000000" w14:paraId="0000000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Which segments (industry, region, lead source, deal size bucket, sales rep) have structurally higher or lower win rates?</w:t>
      </w:r>
    </w:p>
    <w:p w:rsidR="00000000" w:rsidDel="00000000" w:rsidP="00000000" w:rsidRDefault="00000000" w:rsidRPr="00000000" w14:paraId="0000000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At which stages in the funnel do deals most frequently stall or die, and how does stage‑level conversion differ by segment?</w:t>
      </w:r>
    </w:p>
    <w:p w:rsidR="00000000" w:rsidDel="00000000" w:rsidP="00000000" w:rsidRDefault="00000000" w:rsidRPr="00000000" w14:paraId="0000000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Which lead sources generate high‑intent pipeline that closes at a high rate, and which sources create a lot of low‑quality noise?</w:t>
      </w:r>
    </w:p>
    <w:p w:rsidR="00000000" w:rsidDel="00000000" w:rsidP="00000000" w:rsidRDefault="00000000" w:rsidRPr="00000000" w14:paraId="0000000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How do deal size and sales cycle length relate to win probability and total revenue contribution?</w:t>
      </w:r>
    </w:p>
    <w:p w:rsidR="00000000" w:rsidDel="00000000" w:rsidP="00000000" w:rsidRDefault="00000000" w:rsidRPr="00000000" w14:paraId="0000000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What early‑warning patterns in behavior (stage aging, lack of activity, competitive flags) indicate that an open deal is at high risk of being lost?</w:t>
      </w:r>
    </w:p>
    <w:p w:rsidR="00000000" w:rsidDel="00000000" w:rsidP="00000000" w:rsidRDefault="00000000" w:rsidRPr="00000000" w14:paraId="0000000D">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Over time, are win‑rate and pipeline‑quality trends improving or deteriorating in key segments (e.g., EdTech vs FinTech, inbound vs outbound)?</w:t>
      </w:r>
    </w:p>
    <w:p w:rsidR="00000000" w:rsidDel="00000000" w:rsidP="00000000" w:rsidRDefault="00000000" w:rsidRPr="00000000" w14:paraId="0000000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questions ensure the CRO can move from “win rate is down” to “here are the specific levers and segments we must prioritize this quarter.”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sz w:val="34"/>
          <w:szCs w:val="34"/>
        </w:rPr>
      </w:pPr>
      <w:bookmarkStart w:colFirst="0" w:colLast="0" w:name="_srs06cdieagr" w:id="3"/>
      <w:bookmarkEnd w:id="3"/>
      <w:r w:rsidDel="00000000" w:rsidR="00000000" w:rsidRPr="00000000">
        <w:rPr>
          <w:rFonts w:ascii="Roboto" w:cs="Roboto" w:eastAsia="Roboto" w:hAnsi="Roboto"/>
          <w:b w:val="1"/>
          <w:bCs w:val="1"/>
          <w:sz w:val="34"/>
          <w:szCs w:val="34"/>
          <w:rtl w:val="0"/>
        </w:rPr>
        <w:t xml:space="preserve">3. What metrics matter most for diagnosing win‑rate issues?</w:t>
      </w:r>
    </w:p>
    <w:p w:rsidR="00000000" w:rsidDel="00000000" w:rsidP="00000000" w:rsidRDefault="00000000" w:rsidRPr="00000000" w14:paraId="0000001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diagnose and act on win‑rate issues, the system should focus on a small, interpretable set of metrics:​</w:t>
      </w:r>
    </w:p>
    <w:p w:rsidR="00000000" w:rsidDel="00000000" w:rsidP="00000000" w:rsidRDefault="00000000" w:rsidRPr="00000000" w14:paraId="00000012">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Win rate by segment: overall, and broken down by industry, region, lead source, deal size bucket, and rep.</w:t>
      </w:r>
    </w:p>
    <w:p w:rsidR="00000000" w:rsidDel="00000000" w:rsidP="00000000" w:rsidRDefault="00000000" w:rsidRPr="00000000" w14:paraId="00000013">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Stage‑level conversion: probability of moving from one stage to the next, to identify where the funnel leaks most.</w:t>
      </w:r>
    </w:p>
    <w:p w:rsidR="00000000" w:rsidDel="00000000" w:rsidP="00000000" w:rsidRDefault="00000000" w:rsidRPr="00000000" w14:paraId="00000014">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Late‑Stage Drop‑off Rate (LSDR): fraction of deals that reach late stages (proposal/negotiation) but still end Lost, by segment.</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Pipeline Quality Index (PQI): a composite metric that blends win rate, typical ACV, and high‑intent lead share for each segment.</w:t>
      </w:r>
    </w:p>
    <w:p w:rsidR="00000000" w:rsidDel="00000000" w:rsidP="00000000" w:rsidRDefault="00000000" w:rsidRPr="00000000" w14:paraId="00000016">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Sales cycle duration: median cycle length for wins vs losses, and by segment, to detect slow‑moving or stuck pipeline.</w:t>
      </w:r>
    </w:p>
    <w:p w:rsidR="00000000" w:rsidDel="00000000" w:rsidP="00000000" w:rsidRDefault="00000000" w:rsidRPr="00000000" w14:paraId="0000001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Together, these metrics highlight </w:t>
      </w:r>
      <w:r w:rsidDel="00000000" w:rsidR="00000000" w:rsidRPr="00000000">
        <w:rPr>
          <w:rFonts w:ascii="Roboto" w:cs="Roboto" w:eastAsia="Roboto" w:hAnsi="Roboto"/>
          <w:i w:val="1"/>
          <w:iCs w:val="1"/>
          <w:sz w:val="24"/>
          <w:szCs w:val="24"/>
          <w:rtl w:val="0"/>
        </w:rPr>
        <w:t xml:space="preserve">where</w:t>
      </w:r>
      <w:r w:rsidDel="00000000" w:rsidR="00000000" w:rsidRPr="00000000">
        <w:rPr>
          <w:rFonts w:ascii="Roboto" w:cs="Roboto" w:eastAsia="Roboto" w:hAnsi="Roboto"/>
          <w:sz w:val="24"/>
          <w:szCs w:val="24"/>
          <w:rtl w:val="0"/>
        </w:rPr>
        <w:t xml:space="preserve"> performance is weak, </w:t>
      </w:r>
      <w:r w:rsidDel="00000000" w:rsidR="00000000" w:rsidRPr="00000000">
        <w:rPr>
          <w:rFonts w:ascii="Roboto" w:cs="Roboto" w:eastAsia="Roboto" w:hAnsi="Roboto"/>
          <w:i w:val="1"/>
          <w:iCs w:val="1"/>
          <w:sz w:val="24"/>
          <w:szCs w:val="24"/>
          <w:rtl w:val="0"/>
        </w:rPr>
        <w:t xml:space="preserve">why</w:t>
      </w:r>
      <w:r w:rsidDel="00000000" w:rsidR="00000000" w:rsidRPr="00000000">
        <w:rPr>
          <w:rFonts w:ascii="Roboto" w:cs="Roboto" w:eastAsia="Roboto" w:hAnsi="Roboto"/>
          <w:sz w:val="24"/>
          <w:szCs w:val="24"/>
          <w:rtl w:val="0"/>
        </w:rPr>
        <w:t xml:space="preserve"> (early vs late funnel, low‑intent vs high‑intent, small vs enterprise), and </w:t>
      </w:r>
      <w:r w:rsidDel="00000000" w:rsidR="00000000" w:rsidRPr="00000000">
        <w:rPr>
          <w:rFonts w:ascii="Roboto" w:cs="Roboto" w:eastAsia="Roboto" w:hAnsi="Roboto"/>
          <w:i w:val="1"/>
          <w:iCs w:val="1"/>
          <w:sz w:val="24"/>
          <w:szCs w:val="24"/>
          <w:rtl w:val="0"/>
        </w:rPr>
        <w:t xml:space="preserve">which</w:t>
      </w:r>
      <w:r w:rsidDel="00000000" w:rsidR="00000000" w:rsidRPr="00000000">
        <w:rPr>
          <w:rFonts w:ascii="Roboto" w:cs="Roboto" w:eastAsia="Roboto" w:hAnsi="Roboto"/>
          <w:sz w:val="24"/>
          <w:szCs w:val="24"/>
          <w:rtl w:val="0"/>
        </w:rPr>
        <w:t xml:space="preserve"> levers are worth pulling first.​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Roboto" w:cs="Roboto" w:eastAsia="Roboto" w:hAnsi="Roboto"/>
          <w:b w:val="1"/>
          <w:bCs w:val="1"/>
          <w:sz w:val="34"/>
          <w:szCs w:val="34"/>
        </w:rPr>
      </w:pPr>
      <w:bookmarkStart w:colFirst="0" w:colLast="0" w:name="_7yz17z5ain97" w:id="4"/>
      <w:bookmarkEnd w:id="4"/>
      <w:r w:rsidDel="00000000" w:rsidR="00000000" w:rsidRPr="00000000">
        <w:rPr>
          <w:rFonts w:ascii="Roboto" w:cs="Roboto" w:eastAsia="Roboto" w:hAnsi="Roboto"/>
          <w:b w:val="1"/>
          <w:bCs w:val="1"/>
          <w:sz w:val="34"/>
          <w:szCs w:val="34"/>
          <w:rtl w:val="0"/>
        </w:rPr>
        <w:t xml:space="preserve">4. What assumptions am I making about the data and business?</w:t>
      </w:r>
    </w:p>
    <w:p w:rsidR="00000000" w:rsidDel="00000000" w:rsidP="00000000" w:rsidRDefault="00000000" w:rsidRPr="00000000" w14:paraId="0000001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frame and analyze the problem in this way, I am making several practical assumptions:</w:t>
      </w:r>
    </w:p>
    <w:p w:rsidR="00000000" w:rsidDel="00000000" w:rsidP="00000000" w:rsidRDefault="00000000" w:rsidRPr="00000000" w14:paraId="0000001B">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quality and consistency: Stages, outcomes (“Won”/“Lost”), amounts, dates, industries, regions, lead sources, and reps are logged consistently and accurately across the dataset.</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Representative time window: The historical period used for EDA is representative of “normal” operations (no large one‑off shocks that completely distort behavior).</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Stable process definitions: Sales process stages and outcome definitions have not changed dramatically within the analysis window, so stage‑level comparisons are meaningful.</w:t>
      </w:r>
    </w:p>
    <w:p w:rsidR="00000000" w:rsidDel="00000000" w:rsidP="00000000" w:rsidRDefault="00000000" w:rsidRPr="00000000" w14:paraId="0000001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Comparable segments: Industries, regions, and lead sources are defined granularly enough to be useful, but not so granular that each segment has too few deals to analyze reliably.</w:t>
      </w:r>
    </w:p>
    <w:p w:rsidR="00000000" w:rsidDel="00000000" w:rsidP="00000000" w:rsidRDefault="00000000" w:rsidRPr="00000000" w14:paraId="0000001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Actionability: The CRO and sales leadership can realistically adjust levers such as target segments, lead‑gen mix, pricing and packaging, and sales playbooks in response to the insights produced.</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