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Roboto" w:cs="Roboto" w:eastAsia="Roboto" w:hAnsi="Roboto"/>
          <w:b w:val="1"/>
          <w:bCs w:val="1"/>
          <w:sz w:val="34"/>
          <w:szCs w:val="34"/>
        </w:rPr>
      </w:pPr>
      <w:bookmarkStart w:colFirst="0" w:colLast="0" w:name="_kq9j8zndsek1" w:id="0"/>
      <w:bookmarkEnd w:id="0"/>
      <w:r w:rsidDel="00000000" w:rsidR="00000000" w:rsidRPr="00000000">
        <w:rPr>
          <w:rFonts w:ascii="Roboto" w:cs="Roboto" w:eastAsia="Roboto" w:hAnsi="Roboto"/>
          <w:b w:val="1"/>
          <w:bCs w:val="1"/>
          <w:sz w:val="34"/>
          <w:szCs w:val="34"/>
          <w:rtl w:val="0"/>
        </w:rPr>
        <w:t xml:space="preserve">Part 2</w:t>
        <w:br w:type="textWrapping"/>
        <w:br w:type="textWrapping"/>
        <w:t xml:space="preserve">Three clear business insights</w:t>
      </w:r>
    </w:p>
    <w:p w:rsidR="00000000" w:rsidDel="00000000" w:rsidP="00000000" w:rsidRDefault="00000000" w:rsidRPr="00000000" w14:paraId="00000002">
      <w:pPr>
        <w:pStyle w:val="Heading2"/>
        <w:keepNext w:val="0"/>
        <w:keepLines w:val="0"/>
        <w:spacing w:after="80" w:lineRule="auto"/>
        <w:rPr>
          <w:rFonts w:ascii="Roboto" w:cs="Roboto" w:eastAsia="Roboto" w:hAnsi="Roboto"/>
          <w:b w:val="1"/>
          <w:bCs w:val="1"/>
          <w:sz w:val="34"/>
          <w:szCs w:val="34"/>
        </w:rPr>
      </w:pPr>
      <w:bookmarkStart w:colFirst="0" w:colLast="0" w:name="_4i26yb3fzfe5" w:id="1"/>
      <w:bookmarkEnd w:id="1"/>
      <w:r w:rsidDel="00000000" w:rsidR="00000000" w:rsidRPr="00000000">
        <w:rPr>
          <w:rFonts w:ascii="Roboto" w:cs="Roboto" w:eastAsia="Roboto" w:hAnsi="Roboto"/>
          <w:b w:val="1"/>
          <w:bCs w:val="1"/>
          <w:sz w:val="34"/>
          <w:szCs w:val="34"/>
          <w:rtl w:val="0"/>
        </w:rPr>
        <w:t xml:space="preserve">1) Lead source drives win‑rate quality</w:t>
      </w:r>
    </w:p>
    <w:p w:rsidR="00000000" w:rsidDel="00000000" w:rsidP="00000000" w:rsidRDefault="00000000" w:rsidRPr="00000000" w14:paraId="00000003">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Inbound and referral leads show significantly higher win rates than outbound or cold partner leads, indicating that high‑intent demand is structurally more efficient to close.​</w:t>
      </w:r>
    </w:p>
    <w:p w:rsidR="00000000" w:rsidDel="00000000" w:rsidP="00000000" w:rsidRDefault="00000000" w:rsidRPr="00000000" w14:paraId="00000004">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This means the CRO gets more wins per unit of effort when pipeline is sourced from inbound marketing and customer/partner advocacy versus pure outbound.​</w:t>
      </w:r>
    </w:p>
    <w:p w:rsidR="00000000" w:rsidDel="00000000" w:rsidP="00000000" w:rsidRDefault="00000000" w:rsidRPr="00000000" w14:paraId="00000005">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Action: Re‑balance spend and SDR time toward inbound‑like channels (content, events, customer referrals, partner enablement) and tighten qualification criteria for low‑intent outbound leads.​</w:t>
      </w:r>
    </w:p>
    <w:p w:rsidR="00000000" w:rsidDel="00000000" w:rsidP="00000000" w:rsidRDefault="00000000" w:rsidRPr="00000000" w14:paraId="00000006">
      <w:pPr>
        <w:pStyle w:val="Heading2"/>
        <w:keepNext w:val="0"/>
        <w:keepLines w:val="0"/>
        <w:spacing w:after="80" w:lineRule="auto"/>
        <w:rPr>
          <w:rFonts w:ascii="Roboto" w:cs="Roboto" w:eastAsia="Roboto" w:hAnsi="Roboto"/>
          <w:b w:val="1"/>
          <w:bCs w:val="1"/>
          <w:sz w:val="34"/>
          <w:szCs w:val="34"/>
        </w:rPr>
      </w:pPr>
      <w:bookmarkStart w:colFirst="0" w:colLast="0" w:name="_fshh8lj0s72z" w:id="2"/>
      <w:bookmarkEnd w:id="2"/>
      <w:r w:rsidDel="00000000" w:rsidR="00000000" w:rsidRPr="00000000">
        <w:rPr>
          <w:rFonts w:ascii="Roboto" w:cs="Roboto" w:eastAsia="Roboto" w:hAnsi="Roboto"/>
          <w:b w:val="1"/>
          <w:bCs w:val="1"/>
          <w:sz w:val="34"/>
          <w:szCs w:val="34"/>
          <w:rtl w:val="0"/>
        </w:rPr>
        <w:t xml:space="preserve">2) Mid‑sized deals are the “sweet spot”</w:t>
      </w:r>
    </w:p>
    <w:p w:rsidR="00000000" w:rsidDel="00000000" w:rsidP="00000000" w:rsidRDefault="00000000" w:rsidRPr="00000000" w14:paraId="00000007">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When deals are bucketed by ACV (e.g., Small, Mid, Upper‑Mid, Enterprise), win rates tend to peak in the mid/upper‑mid bands and soften at the very small and very large ends.​</w:t>
      </w:r>
    </w:p>
    <w:p w:rsidR="00000000" w:rsidDel="00000000" w:rsidP="00000000" w:rsidRDefault="00000000" w:rsidRPr="00000000" w14:paraId="00000008">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Very small deals often churn quickly in the funnel (low perceived value, higher no‑decision), while very large enterprise deals are more likely to stall or get lost late due to complexity and multi‑stakeholder risk.​</w:t>
      </w:r>
    </w:p>
    <w:p w:rsidR="00000000" w:rsidDel="00000000" w:rsidP="00000000" w:rsidRDefault="00000000" w:rsidRPr="00000000" w14:paraId="00000009">
      <w:pPr>
        <w:numPr>
          <w:ilvl w:val="0"/>
          <w:numId w:val="7"/>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Action: Design a fast‑track motion for small deals (lightweight approvals, simplified pricing) and an “enterprise pursuit” motion for large deals (exec sponsor, multi‑threading, structured value selling).​</w:t>
      </w:r>
    </w:p>
    <w:p w:rsidR="00000000" w:rsidDel="00000000" w:rsidP="00000000" w:rsidRDefault="00000000" w:rsidRPr="00000000" w14:paraId="0000000A">
      <w:pPr>
        <w:pStyle w:val="Heading2"/>
        <w:keepNext w:val="0"/>
        <w:keepLines w:val="0"/>
        <w:spacing w:after="80" w:lineRule="auto"/>
        <w:rPr>
          <w:rFonts w:ascii="Roboto" w:cs="Roboto" w:eastAsia="Roboto" w:hAnsi="Roboto"/>
          <w:b w:val="1"/>
          <w:bCs w:val="1"/>
          <w:sz w:val="34"/>
          <w:szCs w:val="34"/>
        </w:rPr>
      </w:pPr>
      <w:bookmarkStart w:colFirst="0" w:colLast="0" w:name="_c7lc1mqam403" w:id="3"/>
      <w:bookmarkEnd w:id="3"/>
      <w:r w:rsidDel="00000000" w:rsidR="00000000" w:rsidRPr="00000000">
        <w:rPr>
          <w:rFonts w:ascii="Roboto" w:cs="Roboto" w:eastAsia="Roboto" w:hAnsi="Roboto"/>
          <w:b w:val="1"/>
          <w:bCs w:val="1"/>
          <w:sz w:val="34"/>
          <w:szCs w:val="34"/>
          <w:rtl w:val="0"/>
        </w:rPr>
        <w:t xml:space="preserve">3) Late‑stage leakage is a major issue</w:t>
      </w:r>
    </w:p>
    <w:p w:rsidR="00000000" w:rsidDel="00000000" w:rsidP="00000000" w:rsidRDefault="00000000" w:rsidRPr="00000000" w14:paraId="0000000B">
      <w:pPr>
        <w:numPr>
          <w:ilvl w:val="0"/>
          <w:numId w:val="6"/>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A disproportionate share of lost deals are lost in late stages (proposal, negotiation, late “Closed – Lost”) rather than at early qualification, implying that the team reaches “yes/no” moments but fails to convert.​</w:t>
      </w:r>
    </w:p>
    <w:p w:rsidR="00000000" w:rsidDel="00000000" w:rsidP="00000000" w:rsidRDefault="00000000" w:rsidRPr="00000000" w14:paraId="0000000C">
      <w:pPr>
        <w:numPr>
          <w:ilvl w:val="0"/>
          <w:numId w:val="6"/>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This pattern suggests pricing, competitive positioning, proof (ROI, references), and stakeholder alignment are the dominant failure points—not just top‑of‑funnel volume or initial fit.​</w:t>
      </w:r>
    </w:p>
    <w:p w:rsidR="00000000" w:rsidDel="00000000" w:rsidP="00000000" w:rsidRDefault="00000000" w:rsidRPr="00000000" w14:paraId="0000000D">
      <w:pPr>
        <w:numPr>
          <w:ilvl w:val="0"/>
          <w:numId w:val="6"/>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Action: Standardize late‑stage playbooks (battlecards, competitive talk tracks, objection‑handling scripts, mandatory reference calls) and require a structured review for high‑value deals before proposals go out.​</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rFonts w:ascii="Roboto" w:cs="Roboto" w:eastAsia="Roboto" w:hAnsi="Roboto"/>
          <w:b w:val="1"/>
          <w:bCs w:val="1"/>
          <w:sz w:val="34"/>
          <w:szCs w:val="34"/>
        </w:rPr>
      </w:pPr>
      <w:bookmarkStart w:colFirst="0" w:colLast="0" w:name="_cwqlg2f7pjan" w:id="4"/>
      <w:bookmarkEnd w:id="4"/>
      <w:r w:rsidDel="00000000" w:rsidR="00000000" w:rsidRPr="00000000">
        <w:rPr>
          <w:rFonts w:ascii="Roboto" w:cs="Roboto" w:eastAsia="Roboto" w:hAnsi="Roboto"/>
          <w:b w:val="1"/>
          <w:bCs w:val="1"/>
          <w:sz w:val="34"/>
          <w:szCs w:val="34"/>
          <w:rtl w:val="0"/>
        </w:rPr>
        <w:t xml:space="preserve">Two custom metrics to add</w:t>
      </w:r>
    </w:p>
    <w:p w:rsidR="00000000" w:rsidDel="00000000" w:rsidP="00000000" w:rsidRDefault="00000000" w:rsidRPr="00000000" w14:paraId="00000010">
      <w:pPr>
        <w:pStyle w:val="Heading2"/>
        <w:keepNext w:val="0"/>
        <w:keepLines w:val="0"/>
        <w:spacing w:after="80" w:lineRule="auto"/>
        <w:rPr>
          <w:rFonts w:ascii="Roboto" w:cs="Roboto" w:eastAsia="Roboto" w:hAnsi="Roboto"/>
          <w:b w:val="1"/>
          <w:bCs w:val="1"/>
          <w:sz w:val="34"/>
          <w:szCs w:val="34"/>
        </w:rPr>
      </w:pPr>
      <w:bookmarkStart w:colFirst="0" w:colLast="0" w:name="_rip96hwcrbfp" w:id="5"/>
      <w:bookmarkEnd w:id="5"/>
      <w:r w:rsidDel="00000000" w:rsidR="00000000" w:rsidRPr="00000000">
        <w:rPr>
          <w:rFonts w:ascii="Roboto" w:cs="Roboto" w:eastAsia="Roboto" w:hAnsi="Roboto"/>
          <w:b w:val="1"/>
          <w:bCs w:val="1"/>
          <w:sz w:val="34"/>
          <w:szCs w:val="34"/>
          <w:rtl w:val="0"/>
        </w:rPr>
        <w:t xml:space="preserve">Custom metric 1: Pipeline Quality Index (PQI)</w:t>
      </w:r>
    </w:p>
    <w:p w:rsidR="00000000" w:rsidDel="00000000" w:rsidP="00000000" w:rsidRDefault="00000000" w:rsidRPr="00000000" w14:paraId="00000011">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it measures</w:t>
        <w:br w:type="textWrapping"/>
        <w:t xml:space="preserve">A composite score (0–1) that captures how “healthy” a segment’s pipeline is, beyond simple win rate.​</w:t>
      </w:r>
    </w:p>
    <w:p w:rsidR="00000000" w:rsidDel="00000000" w:rsidP="00000000" w:rsidRDefault="00000000" w:rsidRPr="00000000" w14:paraId="00000012">
      <w:pP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Definition (for each segment – industry, region, or rep)</w:t>
      </w:r>
    </w:p>
    <w:p w:rsidR="00000000" w:rsidDel="00000000" w:rsidP="00000000" w:rsidRDefault="00000000" w:rsidRPr="00000000" w14:paraId="00000013">
      <w:pPr>
        <w:numPr>
          <w:ilvl w:val="0"/>
          <w:numId w:val="4"/>
        </w:numPr>
        <w:pBdr>
          <w:top w:color="auto" w:space="0" w:sz="0" w:val="none"/>
          <w:bottom w:color="auto" w:space="0" w:sz="0" w:val="none"/>
          <w:between w:color="auto" w:space="0" w:sz="0" w:val="none"/>
        </w:pBdr>
        <w:spacing w:after="0" w:afterAutospacing="0"/>
        <w:ind w:left="720" w:hanging="360"/>
      </w:pPr>
      <w:r w:rsidDel="00000000" w:rsidR="00000000" w:rsidRPr="00000000">
        <w:rPr>
          <w:rFonts w:ascii="Roboto" w:cs="Roboto" w:eastAsia="Roboto" w:hAnsi="Roboto"/>
          <w:sz w:val="24"/>
          <w:szCs w:val="24"/>
          <w:rtl w:val="0"/>
        </w:rPr>
        <w:t xml:space="preserve">Compute:</w:t>
      </w:r>
    </w:p>
    <w:p w:rsidR="00000000" w:rsidDel="00000000" w:rsidP="00000000" w:rsidRDefault="00000000" w:rsidRPr="00000000" w14:paraId="00000014">
      <w:pPr>
        <w:numPr>
          <w:ilvl w:val="1"/>
          <w:numId w:val="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Win rate for that segment.</w:t>
      </w:r>
    </w:p>
    <w:p w:rsidR="00000000" w:rsidDel="00000000" w:rsidP="00000000" w:rsidRDefault="00000000" w:rsidRPr="00000000" w14:paraId="00000015">
      <w:pPr>
        <w:numPr>
          <w:ilvl w:val="1"/>
          <w:numId w:val="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Median or mean deal amount (ACV) for that segment.</w:t>
      </w:r>
    </w:p>
    <w:p w:rsidR="00000000" w:rsidDel="00000000" w:rsidP="00000000" w:rsidRDefault="00000000" w:rsidRPr="00000000" w14:paraId="00000016">
      <w:pPr>
        <w:numPr>
          <w:ilvl w:val="1"/>
          <w:numId w:val="4"/>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Share of deals from high‑intent sources (Inbound + Referral) for that segment.​</w:t>
      </w:r>
    </w:p>
    <w:p w:rsidR="00000000" w:rsidDel="00000000" w:rsidP="00000000" w:rsidRDefault="00000000" w:rsidRPr="00000000" w14:paraId="00000017">
      <w:pPr>
        <w:numPr>
          <w:ilvl w:val="0"/>
          <w:numId w:val="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Normalize each of the three to 0–1 across all segments (min‑max or z‑score scaled to 0–1).</w:t>
      </w:r>
    </w:p>
    <w:p w:rsidR="00000000" w:rsidDel="00000000" w:rsidP="00000000" w:rsidRDefault="00000000" w:rsidRPr="00000000" w14:paraId="00000018">
      <w:pPr>
        <w:numPr>
          <w:ilvl w:val="0"/>
          <w:numId w:val="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PQI(segment) = average of the three normalized values.​</w:t>
      </w:r>
    </w:p>
    <w:p w:rsidR="00000000" w:rsidDel="00000000" w:rsidP="00000000" w:rsidRDefault="00000000" w:rsidRPr="00000000" w14:paraId="00000019">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How to use it</w:t>
      </w:r>
    </w:p>
    <w:p w:rsidR="00000000" w:rsidDel="00000000" w:rsidP="00000000" w:rsidRDefault="00000000" w:rsidRPr="00000000" w14:paraId="0000001A">
      <w:pPr>
        <w:numPr>
          <w:ilvl w:val="0"/>
          <w:numId w:val="5"/>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High PQI = segment with strong win rate, healthy deal sizes, and high‑intent pipeline (e.g., FinTech in your case).​</w:t>
      </w:r>
    </w:p>
    <w:p w:rsidR="00000000" w:rsidDel="00000000" w:rsidP="00000000" w:rsidRDefault="00000000" w:rsidRPr="00000000" w14:paraId="0000001B">
      <w:pPr>
        <w:numPr>
          <w:ilvl w:val="0"/>
          <w:numId w:val="5"/>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Low PQI = segment with weak win rate, small/low‑quality deals, or too much low‑intent outbound (e.g., EdTech).​</w:t>
      </w:r>
    </w:p>
    <w:p w:rsidR="00000000" w:rsidDel="00000000" w:rsidP="00000000" w:rsidRDefault="00000000" w:rsidRPr="00000000" w14:paraId="0000001C">
      <w:pPr>
        <w:numPr>
          <w:ilvl w:val="0"/>
          <w:numId w:val="5"/>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CRO action: Invest more in high‑PQI segments; run targeted fixes (pricing, ICP, messaging) on low‑PQI segments.</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rFonts w:ascii="Roboto" w:cs="Roboto" w:eastAsia="Roboto" w:hAnsi="Roboto"/>
          <w:b w:val="1"/>
          <w:bCs w:val="1"/>
          <w:sz w:val="34"/>
          <w:szCs w:val="34"/>
        </w:rPr>
      </w:pPr>
      <w:bookmarkStart w:colFirst="0" w:colLast="0" w:name="_rpu2lu576wid" w:id="6"/>
      <w:bookmarkEnd w:id="6"/>
      <w:r w:rsidDel="00000000" w:rsidR="00000000" w:rsidRPr="00000000">
        <w:rPr>
          <w:rFonts w:ascii="Roboto" w:cs="Roboto" w:eastAsia="Roboto" w:hAnsi="Roboto"/>
          <w:b w:val="1"/>
          <w:bCs w:val="1"/>
          <w:sz w:val="34"/>
          <w:szCs w:val="34"/>
          <w:rtl w:val="0"/>
        </w:rPr>
        <w:t xml:space="preserve">Custom metric 2: Late‑Stage Drop‑off Rate (LSDR)</w:t>
      </w:r>
    </w:p>
    <w:p w:rsidR="00000000" w:rsidDel="00000000" w:rsidP="00000000" w:rsidRDefault="00000000" w:rsidRPr="00000000" w14:paraId="0000001F">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What it measures</w:t>
        <w:br w:type="textWrapping"/>
        <w:t xml:space="preserve">The proportion of opportunities that reach a late stage but still end up as Lost, quantifying late‑funnel leakage.​</w:t>
      </w:r>
    </w:p>
    <w:p w:rsidR="00000000" w:rsidDel="00000000" w:rsidP="00000000" w:rsidRDefault="00000000" w:rsidRPr="00000000" w14:paraId="00000020">
      <w:pP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Definition</w:t>
      </w:r>
    </w:p>
    <w:p w:rsidR="00000000" w:rsidDel="00000000" w:rsidP="00000000" w:rsidRDefault="00000000" w:rsidRPr="00000000" w14:paraId="00000021">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Define “late stages” using your stage labels (e.g., all stages at/after “Proposal” or “Negotiation”).​</w:t>
      </w:r>
    </w:p>
    <w:p w:rsidR="00000000" w:rsidDel="00000000" w:rsidP="00000000" w:rsidRDefault="00000000" w:rsidRPr="00000000" w14:paraId="00000022">
      <w:pPr>
        <w:numPr>
          <w:ilvl w:val="0"/>
          <w:numId w:val="2"/>
        </w:numPr>
        <w:pBdr>
          <w:top w:color="auto" w:space="0" w:sz="0" w:val="none"/>
          <w:bottom w:color="auto" w:space="0" w:sz="0" w:val="none"/>
          <w:between w:color="auto" w:space="0" w:sz="0" w:val="none"/>
        </w:pBdr>
        <w:spacing w:after="0" w:afterAutospacing="0"/>
        <w:ind w:left="720" w:hanging="360"/>
      </w:pPr>
      <w:r w:rsidDel="00000000" w:rsidR="00000000" w:rsidRPr="00000000">
        <w:rPr>
          <w:rFonts w:ascii="Roboto" w:cs="Roboto" w:eastAsia="Roboto" w:hAnsi="Roboto"/>
          <w:sz w:val="24"/>
          <w:szCs w:val="24"/>
          <w:rtl w:val="0"/>
        </w:rPr>
        <w:t xml:space="preserve">For a given segment (overall, by industry, by lead source, etc.):</w:t>
      </w:r>
    </w:p>
    <w:p w:rsidR="00000000" w:rsidDel="00000000" w:rsidP="00000000" w:rsidRDefault="00000000" w:rsidRPr="00000000" w14:paraId="00000023">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Numerator: count of deals that </w:t>
      </w:r>
      <w:r w:rsidDel="00000000" w:rsidR="00000000" w:rsidRPr="00000000">
        <w:rPr>
          <w:rFonts w:ascii="Roboto" w:cs="Roboto" w:eastAsia="Roboto" w:hAnsi="Roboto"/>
          <w:i w:val="1"/>
          <w:iCs w:val="1"/>
          <w:sz w:val="24"/>
          <w:szCs w:val="24"/>
          <w:rtl w:val="0"/>
        </w:rPr>
        <w:t xml:space="preserve">entered</w:t>
      </w:r>
      <w:r w:rsidDel="00000000" w:rsidR="00000000" w:rsidRPr="00000000">
        <w:rPr>
          <w:rFonts w:ascii="Roboto" w:cs="Roboto" w:eastAsia="Roboto" w:hAnsi="Roboto"/>
          <w:sz w:val="24"/>
          <w:szCs w:val="24"/>
          <w:rtl w:val="0"/>
        </w:rPr>
        <w:t xml:space="preserve"> any late stage and ended as Lost.</w:t>
      </w:r>
    </w:p>
    <w:p w:rsidR="00000000" w:rsidDel="00000000" w:rsidP="00000000" w:rsidRDefault="00000000" w:rsidRPr="00000000" w14:paraId="00000024">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Denominator: count of deals that </w:t>
      </w:r>
      <w:r w:rsidDel="00000000" w:rsidR="00000000" w:rsidRPr="00000000">
        <w:rPr>
          <w:rFonts w:ascii="Roboto" w:cs="Roboto" w:eastAsia="Roboto" w:hAnsi="Roboto"/>
          <w:i w:val="1"/>
          <w:iCs w:val="1"/>
          <w:sz w:val="24"/>
          <w:szCs w:val="24"/>
          <w:rtl w:val="0"/>
        </w:rPr>
        <w:t xml:space="preserve">entered</w:t>
      </w:r>
      <w:r w:rsidDel="00000000" w:rsidR="00000000" w:rsidRPr="00000000">
        <w:rPr>
          <w:rFonts w:ascii="Roboto" w:cs="Roboto" w:eastAsia="Roboto" w:hAnsi="Roboto"/>
          <w:sz w:val="24"/>
          <w:szCs w:val="24"/>
          <w:rtl w:val="0"/>
        </w:rPr>
        <w:t xml:space="preserve"> any late stage (Won + Lost).</w:t>
      </w:r>
    </w:p>
    <w:p w:rsidR="00000000" w:rsidDel="00000000" w:rsidP="00000000" w:rsidRDefault="00000000" w:rsidRPr="00000000" w14:paraId="00000025">
      <w:pPr>
        <w:numPr>
          <w:ilvl w:val="1"/>
          <w:numId w:val="2"/>
        </w:numPr>
        <w:pBdr>
          <w:top w:color="auto" w:space="0" w:sz="0" w:val="none"/>
          <w:bottom w:color="auto" w:space="0" w:sz="0" w:val="none"/>
          <w:between w:color="auto" w:space="0" w:sz="0" w:val="none"/>
        </w:pBdr>
        <w:spacing w:after="180" w:before="0" w:beforeAutospacing="0" w:lineRule="auto"/>
        <w:ind w:left="1440" w:hanging="360"/>
      </w:pPr>
      <w:r w:rsidDel="00000000" w:rsidR="00000000" w:rsidRPr="00000000">
        <w:rPr>
          <w:rFonts w:ascii="Roboto" w:cs="Roboto" w:eastAsia="Roboto" w:hAnsi="Roboto"/>
          <w:sz w:val="24"/>
          <w:szCs w:val="24"/>
          <w:rtl w:val="0"/>
        </w:rPr>
        <w:t xml:space="preserve">LSDR = Numerator ÷ Denominator.​</w:t>
      </w:r>
    </w:p>
    <w:p w:rsidR="00000000" w:rsidDel="00000000" w:rsidP="00000000" w:rsidRDefault="00000000" w:rsidRPr="00000000" w14:paraId="00000026">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How to use itS</w:t>
      </w:r>
    </w:p>
    <w:p w:rsidR="00000000" w:rsidDel="00000000" w:rsidP="00000000" w:rsidRDefault="00000000" w:rsidRPr="00000000" w14:paraId="00000027">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High LSDR in a segment (e.g., EdTech or outbound leads) flags issues with pricing, competition, or stakeholder management in that slice.​</w:t>
      </w:r>
    </w:p>
    <w:p w:rsidR="00000000" w:rsidDel="00000000" w:rsidP="00000000" w:rsidRDefault="00000000" w:rsidRPr="00000000" w14:paraId="00000028">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CRO action: Prioritize enablement and process changes where LSDR is highest; monitor LSDR trend over time to see if late‑stage initiatives are working.</w:t>
      </w:r>
    </w:p>
    <w:p w:rsidR="00000000" w:rsidDel="00000000" w:rsidP="00000000" w:rsidRDefault="00000000" w:rsidRPr="00000000" w14:paraId="000000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