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t9o1ej8ak4ks" w:id="0"/>
      <w:bookmarkEnd w:id="0"/>
      <w:r w:rsidDel="00000000" w:rsidR="00000000" w:rsidRPr="00000000">
        <w:rPr>
          <w:rFonts w:ascii="Roboto" w:cs="Roboto" w:eastAsia="Roboto" w:hAnsi="Roboto"/>
          <w:b w:val="1"/>
          <w:bCs w:val="1"/>
          <w:sz w:val="34"/>
          <w:szCs w:val="34"/>
          <w:rtl w:val="0"/>
        </w:rPr>
        <w:t xml:space="preserve">Part 5 – Reflection</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e5yo3t502uhl" w:id="1"/>
      <w:bookmarkEnd w:id="1"/>
      <w:r w:rsidDel="00000000" w:rsidR="00000000" w:rsidRPr="00000000">
        <w:rPr>
          <w:rFonts w:ascii="Roboto" w:cs="Roboto" w:eastAsia="Roboto" w:hAnsi="Roboto"/>
          <w:b w:val="1"/>
          <w:bCs w:val="1"/>
          <w:sz w:val="34"/>
          <w:szCs w:val="34"/>
          <w:rtl w:val="0"/>
        </w:rPr>
        <w:t xml:space="preserve">5.1 Weakest assumptions</w:t>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weakest assumption is that past win‑rate patterns by simple CRM fields (industry, region, lead_source, deal_stage) will remain stable and predictive over time. In reality, sales strategy, product positioning, competition, and macro conditions can shift quickly and make historical segment win rates less relevant.</w:t>
      </w:r>
    </w:p>
    <w:p w:rsidR="00000000" w:rsidDel="00000000" w:rsidP="00000000" w:rsidRDefault="00000000" w:rsidRPr="00000000" w14:paraId="0000000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also assume the synthetic dataset is reasonably representative of a real B2B SaaS pipeline, even though it has clean fields, consistent stages, and no missing or messy data. This makes it easier to build a tidy decision engine, but it hides many practical data quality issues that a production SkyGeni system would have to handle.</w:t>
      </w:r>
    </w:p>
    <w:p w:rsidR="00000000" w:rsidDel="00000000" w:rsidP="00000000" w:rsidRDefault="00000000" w:rsidRPr="00000000" w14:paraId="00000005">
      <w:pPr>
        <w:pStyle w:val="Heading2"/>
        <w:keepNext w:val="0"/>
        <w:keepLines w:val="0"/>
        <w:spacing w:after="80" w:lineRule="auto"/>
        <w:rPr>
          <w:rFonts w:ascii="Roboto" w:cs="Roboto" w:eastAsia="Roboto" w:hAnsi="Roboto"/>
          <w:b w:val="1"/>
          <w:bCs w:val="1"/>
          <w:sz w:val="34"/>
          <w:szCs w:val="34"/>
        </w:rPr>
      </w:pPr>
      <w:bookmarkStart w:colFirst="0" w:colLast="0" w:name="_rogaklazpedw" w:id="2"/>
      <w:bookmarkEnd w:id="2"/>
      <w:r w:rsidDel="00000000" w:rsidR="00000000" w:rsidRPr="00000000">
        <w:rPr>
          <w:rFonts w:ascii="Roboto" w:cs="Roboto" w:eastAsia="Roboto" w:hAnsi="Roboto"/>
          <w:b w:val="1"/>
          <w:bCs w:val="1"/>
          <w:sz w:val="34"/>
          <w:szCs w:val="34"/>
          <w:rtl w:val="0"/>
        </w:rPr>
        <w:t xml:space="preserve">5.2 What would break in production</w:t>
      </w:r>
    </w:p>
    <w:p w:rsidR="00000000" w:rsidDel="00000000" w:rsidP="00000000" w:rsidRDefault="00000000" w:rsidRPr="00000000" w14:paraId="0000000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real‑world production, the first thing that would break is data quality and schema stability. If the CRM fields change (new stages, renamed lead sources, missing closed_dates, inconsistent outcomes), the current grouping and alert logic could silently produce misleading or empty outputs.</w:t>
      </w:r>
    </w:p>
    <w:p w:rsidR="00000000" w:rsidDel="00000000" w:rsidP="00000000" w:rsidRDefault="00000000" w:rsidRPr="00000000" w14:paraId="0000000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batch alert rules also assume stable volumes per segment and enough data to compute reliable win rates. In a smaller customer, some segments will be very sparse, so the system might fire noisy alerts or miss emerging issues where sample sizes are tiny. Finally, there is no user management, access control, or integration layer—today it lives in notebooks, not in a robust service that can be monitored and versioned.</w:t>
      </w:r>
    </w:p>
    <w:p w:rsidR="00000000" w:rsidDel="00000000" w:rsidP="00000000" w:rsidRDefault="00000000" w:rsidRPr="00000000" w14:paraId="00000008">
      <w:pPr>
        <w:pStyle w:val="Heading2"/>
        <w:keepNext w:val="0"/>
        <w:keepLines w:val="0"/>
        <w:spacing w:after="80" w:lineRule="auto"/>
        <w:rPr>
          <w:rFonts w:ascii="Roboto" w:cs="Roboto" w:eastAsia="Roboto" w:hAnsi="Roboto"/>
          <w:b w:val="1"/>
          <w:bCs w:val="1"/>
          <w:sz w:val="34"/>
          <w:szCs w:val="34"/>
        </w:rPr>
      </w:pPr>
      <w:bookmarkStart w:colFirst="0" w:colLast="0" w:name="_lmi2rgjm8zr6" w:id="3"/>
      <w:bookmarkEnd w:id="3"/>
      <w:r w:rsidDel="00000000" w:rsidR="00000000" w:rsidRPr="00000000">
        <w:rPr>
          <w:rFonts w:ascii="Roboto" w:cs="Roboto" w:eastAsia="Roboto" w:hAnsi="Roboto"/>
          <w:b w:val="1"/>
          <w:bCs w:val="1"/>
          <w:sz w:val="34"/>
          <w:szCs w:val="34"/>
          <w:rtl w:val="0"/>
        </w:rPr>
        <w:t xml:space="preserve">5.3 What I would build next (1 month)</w:t>
      </w:r>
    </w:p>
    <w:p w:rsidR="00000000" w:rsidDel="00000000" w:rsidP="00000000" w:rsidRDefault="00000000" w:rsidRPr="00000000" w14:paraId="0000000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one month, I would focus on three concrete extensions:</w:t>
      </w:r>
    </w:p>
    <w:p w:rsidR="00000000" w:rsidDel="00000000" w:rsidP="00000000" w:rsidRDefault="00000000" w:rsidRPr="00000000" w14:paraId="0000000A">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Harden the data layer: add validation checks, minimum volume rules, and fallbacks when segments are too small or fields are missing, plus basic monitoring for pipeline freshness.</w:t>
      </w:r>
    </w:p>
    <w:p w:rsidR="00000000" w:rsidDel="00000000" w:rsidP="00000000" w:rsidRDefault="00000000" w:rsidRPr="00000000" w14:paraId="0000000B">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Build a simple service + dashboard: productionize the core aggregations and alert rules into a scheduled job (for example, a Python service or SQL/dbt pipeline) and surface results in a minimal dashboard or embedded in CRM.​</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Add smarter prioritization and feedback: let sales leaders up‑vote or down‑vote alerts, track which alerts led to actions, and use this feedback to adjust thresholds or highlight the most impactful patterns over time.​</w:t>
      </w:r>
    </w:p>
    <w:p w:rsidR="00000000" w:rsidDel="00000000" w:rsidP="00000000" w:rsidRDefault="00000000" w:rsidRPr="00000000" w14:paraId="0000000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steps keep the system simple but move it closer to a product that a CRO can rely on every week, not just a one‑off analysis.</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bCs w:val="1"/>
          <w:sz w:val="34"/>
          <w:szCs w:val="34"/>
        </w:rPr>
      </w:pPr>
      <w:bookmarkStart w:colFirst="0" w:colLast="0" w:name="_ejs678lyfy2j" w:id="4"/>
      <w:bookmarkEnd w:id="4"/>
      <w:r w:rsidDel="00000000" w:rsidR="00000000" w:rsidRPr="00000000">
        <w:rPr>
          <w:rFonts w:ascii="Roboto" w:cs="Roboto" w:eastAsia="Roboto" w:hAnsi="Roboto"/>
          <w:b w:val="1"/>
          <w:bCs w:val="1"/>
          <w:sz w:val="34"/>
          <w:szCs w:val="34"/>
          <w:rtl w:val="0"/>
        </w:rPr>
        <w:t xml:space="preserve">5.4 Least confidence</w:t>
      </w:r>
    </w:p>
    <w:p w:rsidR="00000000" w:rsidDel="00000000" w:rsidP="00000000" w:rsidRDefault="00000000" w:rsidRPr="00000000" w14:paraId="0000000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least confident about the alert thresholds and banding choices. For example, the 8‑point win‑rate drop threshold, 40% low‑fit pipeline share, and 15‑day stalling margin are hand‑picked and tuned to this dataset rather than calibrated with real user feedback.</w:t>
      </w:r>
    </w:p>
    <w:p w:rsidR="00000000" w:rsidDel="00000000" w:rsidP="00000000" w:rsidRDefault="00000000" w:rsidRPr="00000000" w14:paraId="00000010">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also cautious about the risk bands (low/medium/high fit) because they compress continuous probabilities into coarse labels. In practice, these bands should be validated with sales leaders on real deals and possibly augmented with more features (rep behavior, competition, deal size buckets) before being used for important decisions like forecast adjustments or performance reviews.</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