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0"/>
          <w:szCs w:val="40"/>
        </w:rPr>
        <w:t xml:space="preserve">GnKAlgo — Product &amp; Technical Design</w:t>
      </w:r>
    </w:p>
    <w:p>
      <w:r>
        <w:t xml:space="preserve">www.gnkalgo.com  |  Design document for product modules and UX</w:t>
      </w:r>
    </w:p>
    <w:p>
      <w:pPr>
        <w:pStyle w:val="Heading1"/>
      </w:pPr>
      <w:r>
        <w:rPr>
          <w:b/>
          <w:sz w:val="32"/>
          <w:szCs w:val="32"/>
        </w:rPr>
        <w:t xml:space="preserve">1. Product vision</w:t>
      </w:r>
    </w:p>
    <w:p>
      <w:r>
        <w:t xml:space="preserve">A production-quality Indian algo trading terminal: secure auth, subscription billing (UPI), broker connectivity, live market charts, paper-first trading, strategy automation, AI signals, and admin operations — upgraded in place without rebuilding from scratch.</w:t>
      </w:r>
    </w:p>
    <w:p>
      <w:pPr>
        <w:pStyle w:val="Heading1"/>
      </w:pPr>
      <w:r>
        <w:rPr>
          <w:b/>
          <w:sz w:val="32"/>
          <w:szCs w:val="32"/>
        </w:rPr>
        <w:t xml:space="preserve">2. User experience design</w:t>
      </w:r>
    </w:p>
    <w:p>
      <w:pPr>
        <w:pStyle w:val="Heading2"/>
      </w:pPr>
      <w:r>
        <w:rPr>
          <w:b/>
          <w:sz w:val="28"/>
          <w:szCs w:val="28"/>
        </w:rPr>
        <w:t xml:space="preserve">2.1 Trading terminal shell</w:t>
      </w:r>
    </w:p>
    <w:p>
      <w:pPr>
        <w:pStyle w:val="ListParagraph"/>
        <w:numPr>
          <w:ilvl w:val="0"/>
          <w:numId w:val="1"/>
        </w:numPr>
      </w:pPr>
      <w:r>
        <w:t xml:space="preserve">TradingShell layout: sidebar navigation, live ticker, theme system (multiple backgrounds)</w:t>
      </w:r>
    </w:p>
    <w:p>
      <w:pPr>
        <w:pStyle w:val="ListParagraph"/>
        <w:numPr>
          <w:ilvl w:val="0"/>
          <w:numId w:val="1"/>
        </w:numPr>
      </w:pPr>
      <w:r>
        <w:t xml:space="preserve">Primary routes: dashboard, orders, positions, holdings, money, watchlist, broker, charts, strategies, signals, webhooks, settings, profile, admin</w:t>
      </w:r>
    </w:p>
    <w:p>
      <w:pPr>
        <w:pStyle w:val="ListParagraph"/>
        <w:numPr>
          <w:ilvl w:val="0"/>
          <w:numId w:val="1"/>
        </w:numPr>
      </w:pPr>
      <w:r>
        <w:t xml:space="preserve">Charts: TradingView Lightweight Charts with symbol search, timeframe, indicators toolbar</w:t>
      </w:r>
    </w:p>
    <w:p>
      <w:pPr>
        <w:pStyle w:val="Heading2"/>
      </w:pPr>
      <w:r>
        <w:rPr>
          <w:b/>
          <w:sz w:val="28"/>
          <w:szCs w:val="28"/>
        </w:rPr>
        <w:t xml:space="preserve">2.2 Design principles</w:t>
      </w:r>
    </w:p>
    <w:p>
      <w:pPr>
        <w:pStyle w:val="ListParagraph"/>
        <w:numPr>
          <w:ilvl w:val="0"/>
          <w:numId w:val="1"/>
        </w:numPr>
      </w:pPr>
      <w:r>
        <w:t xml:space="preserve">Paper first — never auto-live without MFA + broker + market hours</w:t>
      </w:r>
    </w:p>
    <w:p>
      <w:pPr>
        <w:pStyle w:val="ListParagraph"/>
        <w:numPr>
          <w:ilvl w:val="0"/>
          <w:numId w:val="1"/>
        </w:numPr>
      </w:pPr>
      <w:r>
        <w:t xml:space="preserve">Server-owned secrets — frontend only uses JWT and public APIs</w:t>
      </w:r>
    </w:p>
    <w:p>
      <w:pPr>
        <w:pStyle w:val="ListParagraph"/>
        <w:numPr>
          <w:ilvl w:val="0"/>
          <w:numId w:val="1"/>
        </w:numPr>
      </w:pPr>
      <w:r>
        <w:t xml:space="preserve">Mock labeled — mock_dev / source tags when not live</w:t>
      </w:r>
    </w:p>
    <w:p>
      <w:pPr>
        <w:pStyle w:val="ListParagraph"/>
        <w:numPr>
          <w:ilvl w:val="0"/>
          <w:numId w:val="1"/>
        </w:numPr>
      </w:pPr>
      <w:r>
        <w:t xml:space="preserve">One job per screen — strategy builder, orders, charts each have a single primary purpose</w:t>
      </w:r>
    </w:p>
    <w:p>
      <w:pPr>
        <w:pStyle w:val="Heading1"/>
      </w:pPr>
      <w:r>
        <w:rPr>
          <w:b/>
          <w:sz w:val="32"/>
          <w:szCs w:val="32"/>
        </w:rPr>
        <w:t xml:space="preserve">3. Module design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Module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UI</w:t>
            </w:r>
          </w:p>
        </w:tc>
        <w:tc>
          <w:tcPr>
            <w:tcW w:w="2000" w:type="dxa"/>
            <w:shd w:val="clear" w:fill="1F4E79"/>
          </w:tcPr>
          <w:p>
            <w:r>
              <w:rPr>
                <w:b/>
                <w:color w:val="FFFFFF"/>
              </w:rPr>
              <w:t xml:space="preserve">Backend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Auth</w:t>
            </w:r>
          </w:p>
        </w:tc>
        <w:tc>
          <w:tcPr>
            <w:tcW w:w="2000" w:type="dxa"/>
          </w:tcPr>
          <w:p>
            <w:r>
              <w:rPr/>
              <w:t xml:space="preserve">/login /register /verify-email</w:t>
            </w:r>
          </w:p>
        </w:tc>
        <w:tc>
          <w:tcPr>
            <w:tcW w:w="2000" w:type="dxa"/>
          </w:tcPr>
          <w:p>
            <w:r>
              <w:rPr/>
              <w:t xml:space="preserve">JWT, MFA, sessions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Billing</w:t>
            </w:r>
          </w:p>
        </w:tc>
        <w:tc>
          <w:tcPr>
            <w:tcW w:w="2000" w:type="dxa"/>
          </w:tcPr>
          <w:p>
            <w:r>
              <w:rPr/>
              <w:t xml:space="preserve">/subscribe /subscribe/pay</w:t>
            </w:r>
          </w:p>
        </w:tc>
        <w:tc>
          <w:tcPr>
            <w:tcW w:w="2000" w:type="dxa"/>
          </w:tcPr>
          <w:p>
            <w:r>
              <w:rPr/>
              <w:t xml:space="preserve">Plans, UTR, admin confirm, auto-renew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Brokers</w:t>
            </w:r>
          </w:p>
        </w:tc>
        <w:tc>
          <w:tcPr>
            <w:tcW w:w="2000" w:type="dxa"/>
          </w:tcPr>
          <w:p>
            <w:r>
              <w:rPr/>
              <w:t xml:space="preserve">/settings /broker</w:t>
            </w:r>
          </w:p>
        </w:tc>
        <w:tc>
          <w:tcPr>
            <w:tcW w:w="2000" w:type="dxa"/>
          </w:tcPr>
          <w:p>
            <w:r>
              <w:rPr/>
              <w:t xml:space="preserve">Encrypted Dhan/Groww connections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Portfolio</w:t>
            </w:r>
          </w:p>
        </w:tc>
        <w:tc>
          <w:tcPr>
            <w:tcW w:w="2000" w:type="dxa"/>
          </w:tcPr>
          <w:p>
            <w:r>
              <w:rPr/>
              <w:t xml:space="preserve">/positions /holdings /money</w:t>
            </w:r>
          </w:p>
        </w:tc>
        <w:tc>
          <w:tcPr>
            <w:tcW w:w="2000" w:type="dxa"/>
          </w:tcPr>
          <w:p>
            <w:r>
              <w:rPr/>
              <w:t xml:space="preserve">Broker portfolio APIs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Orders</w:t>
            </w:r>
          </w:p>
        </w:tc>
        <w:tc>
          <w:tcPr>
            <w:tcW w:w="2000" w:type="dxa"/>
          </w:tcPr>
          <w:p>
            <w:r>
              <w:rPr/>
              <w:t xml:space="preserve">/orders</w:t>
            </w:r>
          </w:p>
        </w:tc>
        <w:tc>
          <w:tcPr>
            <w:tcW w:w="2000" w:type="dxa"/>
          </w:tcPr>
          <w:p>
            <w:r>
              <w:rPr/>
              <w:t xml:space="preserve">place_order + risk + paper/live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Market/Charts</w:t>
            </w:r>
          </w:p>
        </w:tc>
        <w:tc>
          <w:tcPr>
            <w:tcW w:w="2000" w:type="dxa"/>
          </w:tcPr>
          <w:p>
            <w:r>
              <w:rPr/>
              <w:t xml:space="preserve">/charts /watchlist</w:t>
            </w:r>
          </w:p>
        </w:tc>
        <w:tc>
          <w:tcPr>
            <w:tcW w:w="2000" w:type="dxa"/>
          </w:tcPr>
          <w:p>
            <w:r>
              <w:rPr/>
              <w:t xml:space="preserve">WS feed, candles, instruments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Strategies</w:t>
            </w:r>
          </w:p>
        </w:tc>
        <w:tc>
          <w:tcPr>
            <w:tcW w:w="2000" w:type="dxa"/>
          </w:tcPr>
          <w:p>
            <w:r>
              <w:rPr/>
              <w:t xml:space="preserve">/strategies</w:t>
            </w:r>
          </w:p>
        </w:tc>
        <w:tc>
          <w:tcPr>
            <w:tcW w:w="2000" w:type="dxa"/>
          </w:tcPr>
          <w:p>
            <w:r>
              <w:rPr/>
              <w:t xml:space="preserve">simple + SMC intraday rules_json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Signals</w:t>
            </w:r>
          </w:p>
        </w:tc>
        <w:tc>
          <w:tcPr>
            <w:tcW w:w="2000" w:type="dxa"/>
          </w:tcPr>
          <w:p>
            <w:r>
              <w:rPr/>
              <w:t xml:space="preserve">/signals</w:t>
            </w:r>
          </w:p>
        </w:tc>
        <w:tc>
          <w:tcPr>
            <w:tcW w:w="2000" w:type="dxa"/>
          </w:tcPr>
          <w:p>
            <w:r>
              <w:rPr/>
              <w:t xml:space="preserve">ml-service inference (display)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Webhooks</w:t>
            </w:r>
          </w:p>
        </w:tc>
        <w:tc>
          <w:tcPr>
            <w:tcW w:w="2000" w:type="dxa"/>
          </w:tcPr>
          <w:p>
            <w:r>
              <w:rPr/>
              <w:t xml:space="preserve">/webhooks</w:t>
            </w:r>
          </w:p>
        </w:tc>
        <w:tc>
          <w:tcPr>
            <w:tcW w:w="2000" w:type="dxa"/>
          </w:tcPr>
          <w:p>
            <w:r>
              <w:rPr/>
              <w:t xml:space="preserve">Inbound TradingView → order</w:t>
            </w:r>
          </w:p>
        </w:tc>
      </w:tr>
      <w:tr>
        <w:tc>
          <w:tcPr>
            <w:tcW w:w="2000" w:type="dxa"/>
          </w:tcPr>
          <w:p>
            <w:r>
              <w:rPr/>
              <w:t xml:space="preserve">Admin</w:t>
            </w:r>
          </w:p>
        </w:tc>
        <w:tc>
          <w:tcPr>
            <w:tcW w:w="2000" w:type="dxa"/>
          </w:tcPr>
          <w:p>
            <w:r>
              <w:rPr/>
              <w:t xml:space="preserve">/admin</w:t>
            </w:r>
          </w:p>
        </w:tc>
        <w:tc>
          <w:tcPr>
            <w:tcW w:w="2000" w:type="dxa"/>
          </w:tcPr>
          <w:p>
            <w:r>
              <w:rPr/>
              <w:t xml:space="preserve">Users, payments, sync status</w:t>
            </w:r>
          </w:p>
        </w:tc>
      </w:tr>
    </w:tbl>
    <w:p>
      <w:pPr>
        <w:pStyle w:val="Heading1"/>
      </w:pPr>
      <w:r>
        <w:rPr>
          <w:b/>
          <w:sz w:val="32"/>
          <w:szCs w:val="32"/>
        </w:rPr>
        <w:t xml:space="preserve">4. Strategy design (current + SMC)</w:t>
      </w:r>
    </w:p>
    <w:p>
      <w:r>
        <w:t xml:space="preserve">Simple strategies store rules_json {type:simple, action, qty} and place a market order on run. SMC intraday strategies store {type:smc_intraday, timeframe, entry, action, qty, stop_loss_buffer_pct, target_rr}. Evaluator detects FVG / order block / BOS on candles; computes entry, stop loss, target; SKIPPED if no setup. Levels logged on StrategyRun notes. Automatic SL/target exit monitor is planned (not fully built).</w:t>
      </w:r>
    </w:p>
    <w:p>
      <w:pPr>
        <w:pStyle w:val="Heading1"/>
      </w:pPr>
      <w:r>
        <w:rPr>
          <w:b/>
          <w:sz w:val="32"/>
          <w:szCs w:val="32"/>
        </w:rPr>
        <w:t xml:space="preserve">5. Data model (core entities)</w:t>
      </w:r>
    </w:p>
    <w:p>
      <w:pPr>
        <w:pStyle w:val="ListParagraph"/>
        <w:numPr>
          <w:ilvl w:val="0"/>
          <w:numId w:val="1"/>
        </w:numPr>
      </w:pPr>
      <w:r>
        <w:t xml:space="preserve">users, user_sessions, audit logs</w:t>
      </w:r>
    </w:p>
    <w:p>
      <w:pPr>
        <w:pStyle w:val="ListParagraph"/>
        <w:numPr>
          <w:ilvl w:val="0"/>
          <w:numId w:val="1"/>
        </w:numPr>
      </w:pPr>
      <w:r>
        <w:t xml:space="preserve">broker_connections (encrypted tokens)</w:t>
      </w:r>
    </w:p>
    <w:p>
      <w:pPr>
        <w:pStyle w:val="ListParagraph"/>
        <w:numPr>
          <w:ilvl w:val="0"/>
          <w:numId w:val="1"/>
        </w:numPr>
      </w:pPr>
      <w:r>
        <w:t xml:space="preserve">orders (status, source, strategy_id, webhook_id)</w:t>
      </w:r>
    </w:p>
    <w:p>
      <w:pPr>
        <w:pStyle w:val="ListParagraph"/>
        <w:numPr>
          <w:ilvl w:val="0"/>
          <w:numId w:val="1"/>
        </w:numPr>
      </w:pPr>
      <w:r>
        <w:t xml:space="preserve">strategies, strategy_runs</w:t>
      </w:r>
    </w:p>
    <w:p>
      <w:pPr>
        <w:pStyle w:val="ListParagraph"/>
        <w:numPr>
          <w:ilvl w:val="0"/>
          <w:numId w:val="1"/>
        </w:numPr>
      </w:pPr>
      <w:r>
        <w:t xml:space="preserve">instruments, instrument_sync_runs</w:t>
      </w:r>
    </w:p>
    <w:p>
      <w:pPr>
        <w:pStyle w:val="ListParagraph"/>
        <w:numPr>
          <w:ilvl w:val="0"/>
          <w:numId w:val="1"/>
        </w:numPr>
      </w:pPr>
      <w:r>
        <w:t xml:space="preserve">subscriptions, payments</w:t>
      </w:r>
    </w:p>
    <w:p>
      <w:pPr>
        <w:pStyle w:val="ListParagraph"/>
        <w:numPr>
          <w:ilvl w:val="0"/>
          <w:numId w:val="1"/>
        </w:numPr>
      </w:pPr>
      <w:r>
        <w:t xml:space="preserve">signals, webhooks</w:t>
      </w:r>
    </w:p>
    <w:p>
      <w:pPr>
        <w:pStyle w:val="Heading1"/>
      </w:pPr>
      <w:r>
        <w:rPr>
          <w:b/>
          <w:sz w:val="32"/>
          <w:szCs w:val="32"/>
        </w:rPr>
        <w:t xml:space="preserve">6. API design conventions</w:t>
      </w:r>
    </w:p>
    <w:p>
      <w:r>
        <w:t xml:space="preserve">REST under /api/v1 and /v1. Auth via Bearer JWT. OpenAPI at /docs. Market quotes and candles return source field (dhan | mock_dev | redis). Admin instrument sync: POST /api/v1/admin/instruments/sync.</w:t>
      </w:r>
    </w:p>
    <w:p>
      <w:pPr>
        <w:pStyle w:val="Heading1"/>
      </w:pPr>
      <w:r>
        <w:rPr>
          <w:b/>
          <w:sz w:val="32"/>
          <w:szCs w:val="32"/>
        </w:rPr>
        <w:t xml:space="preserve">7. Non-goals / constraints</w:t>
      </w:r>
    </w:p>
    <w:p>
      <w:pPr>
        <w:pStyle w:val="ListParagraph"/>
        <w:numPr>
          <w:ilvl w:val="0"/>
          <w:numId w:val="1"/>
        </w:numPr>
      </w:pPr>
      <w:r>
        <w:t xml:space="preserve">No browser-side Dhan secrets</w:t>
      </w:r>
    </w:p>
    <w:p>
      <w:pPr>
        <w:pStyle w:val="ListParagraph"/>
        <w:numPr>
          <w:ilvl w:val="0"/>
          <w:numId w:val="1"/>
        </w:numPr>
      </w:pPr>
      <w:r>
        <w:t xml:space="preserve">No fabricated live production market data</w:t>
      </w:r>
    </w:p>
    <w:p>
      <w:pPr>
        <w:pStyle w:val="ListParagraph"/>
        <w:numPr>
          <w:ilvl w:val="0"/>
          <w:numId w:val="1"/>
        </w:numPr>
      </w:pPr>
      <w:r>
        <w:t xml:space="preserve">AI signals are educational, not investment advice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360" w:after="120"/>
    </w:pPr>
    <w:rPr>
      <w:b/>
      <w:sz w:val="32"/>
    </w:rPr>
  </w:style>
  <w:style w:type="paragraph" w:styleId="Heading2">
    <w:name w:val="heading 2"/>
    <w:basedOn w:val="Normal"/>
    <w:qFormat/>
    <w:pPr>
      <w:spacing w:before="280" w:after="100"/>
    </w:pPr>
    <w:rPr>
      <w:b/>
      <w:sz w:val="28"/>
    </w:rPr>
  </w:style>
  <w:style w:type="paragraph" w:styleId="Heading3">
    <w:name w:val="heading 3"/>
    <w:basedOn w:val="Normal"/>
    <w:qFormat/>
    <w:pPr>
      <w:spacing w:before="200" w:after="80"/>
    </w:pPr>
    <w:rPr>
      <w:b/>
      <w:sz w:val="24"/>
    </w:rPr>
  </w:style>
  <w:style w:type="paragraph" w:styleId="Title">
    <w:name w:val="Title"/>
    <w:basedOn w:val="Normal"/>
    <w:qFormat/>
    <w:rPr>
      <w:b/>
      <w:sz w:val="40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GnKAlgo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GnKAlgo Design</dc:title>
  <dc:creator>GnKAlgo Cloud Agent</dc:creator>
  <cp:lastModifiedBy>GnKAlgo</cp:lastModifiedBy>
</cp:coreProperties>
</file>