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Power of an Accountability Partner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Research from the American Society of Training and Development found that having an accountability partner increases your likelihood of completing a goal from 65 percent to 95 percent. BJ Fogg's work confirms that social commitment is one of the strongest forces in behavior change.</w:t>
      </w:r>
    </w:p>
    <w:p>
      <w:pPr>
        <w:spacing w:after="150"/>
      </w:pPr>
      <w:r>
        <w:rPr>
          <w:sz w:val="22"/>
          <w:szCs w:val="22"/>
        </w:rPr>
        <w:t xml:space="preserve">In Filipino culture, where relationships are central to daily life, training with a friend, a tropa, or a family member adds both accountability and enjoyment. You are far less likely to skip a session when someone is waiting for you.</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Message one friend or family member right now and propose a simple commitment: let us walk together three times this week, or let us check in daily about our workouts. Agree on specific days and times. If no one is available in person, join a free fitness group on Facebook or Telegram where members post daily check-ins.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Who in your life would benefit from exercising with you? What is stopping you from reaching out to them? Is it pride, shyness, or the assumption that they would say 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2026-03-22T10:35:34.804Z</dcterms:created>
  <dcterms:modified xsi:type="dcterms:W3CDTF">2026-03-22T10:35:34.804Z</dcterms:modified>
</cp:coreProperties>
</file>

<file path=docProps/custom.xml><?xml version="1.0" encoding="utf-8"?>
<Properties xmlns="http://schemas.openxmlformats.org/officeDocument/2006/custom-properties" xmlns:vt="http://schemas.openxmlformats.org/officeDocument/2006/docPropsVTypes"/>
</file>