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Single-Tasking: The Forgotten Superpower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Daniel Kahneman's research definitively proves that multitasking is a myth. What we call multitasking is actually rapid task-switching, and each switch costs cognitive resources.</w:t>
      </w:r>
    </w:p>
    <w:p>
      <w:pPr>
        <w:spacing w:after="150"/>
      </w:pPr>
      <w:r>
        <w:rPr>
          <w:sz w:val="22"/>
          <w:szCs w:val="22"/>
        </w:rPr>
        <w:t xml:space="preserve">Cal Newport argues that the ability to do deep, single-focused work is becoming both rarer and more valuable in the economy. People who can focus on one thing for extended periods produce disproportionately better results, whether they are coding, writing, studying, or negotiating.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the most important task on your plate right now. Set a timer for 25 minutes, the Pomodoro technique. Work on only that one task. If another thought or urge arises, write it on a piece of paper and return to your task. When the timer rings, take a 5-minute break. Repeat twice.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Be honest: when you sit down to do important work, how many minutes pass before you switch to something else? What is the self-talk that happens right before you switch?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2026-03-22T10:35:34.688Z</dcterms:created>
  <dcterms:modified xsi:type="dcterms:W3CDTF">2026-03-22T10:35:34.688Z</dcterms:modified>
</cp:coreProperties>
</file>

<file path=docProps/custom.xml><?xml version="1.0" encoding="utf-8"?>
<Properties xmlns="http://schemas.openxmlformats.org/officeDocument/2006/custom-properties" xmlns:vt="http://schemas.openxmlformats.org/officeDocument/2006/docPropsVTypes"/>
</file>