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3: The Stress Audit: Finding Your Hidden Triggers</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Daniel Kahneman's research shows that we are remarkably bad at predicting what will stress us and even worse at identifying what already does. Many people are so accustomed to chronic stress that they cannot feel it until it manifests as headaches, insomnia, or rage over small things.</w:t>
      </w:r>
    </w:p>
    <w:p>
      <w:pPr>
        <w:spacing w:after="150"/>
      </w:pPr>
      <w:r>
        <w:rPr>
          <w:sz w:val="22"/>
          <w:szCs w:val="22"/>
        </w:rPr>
        <w:t xml:space="preserve">Viktor Frankl observed that between stimulus and response there is a space, and in that space lies our freedom. But first, you need to identify your stimuli.</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For the next 24 hours, set an alarm for every 3 hours. When it goes off, rate your stress from 1 to 10, write down where you are, who you are with, and what you are doing. By tomorrow, you will have a stress map showing your actual triggers versus what you assumed they were.</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Is there a person, place, or recurring situation that consistently elevates your stress but that you have been tolerating because it feels unavoidable? What would change if you stopped accepting it as normal?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2026-03-22T10:35:34.702Z</dcterms:created>
  <dcterms:modified xsi:type="dcterms:W3CDTF">2026-03-22T10:35:34.702Z</dcterms:modified>
</cp:coreProperties>
</file>

<file path=docProps/custom.xml><?xml version="1.0" encoding="utf-8"?>
<Properties xmlns="http://schemas.openxmlformats.org/officeDocument/2006/custom-properties" xmlns:vt="http://schemas.openxmlformats.org/officeDocument/2006/docPropsVTypes"/>
</file>