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Gap Between Event and Reaction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Viktor Frankl, who survived the Nazi concentration camps, wrote that between stimulus and response there is a space, and in that space is our power to choose our response. Andrew Huberman's neuroscience confirms this: the amygdala fires an emotional reaction in milliseconds, but the prefrontal cortex, which governs rational thought, takes 6 to 10 seconds to engage.</w:t>
      </w:r>
    </w:p>
    <w:p>
      <w:pPr>
        <w:spacing w:after="150"/>
      </w:pPr>
      <w:r>
        <w:rPr>
          <w:sz w:val="22"/>
          <w:szCs w:val="22"/>
        </w:rPr>
        <w:t xml:space="preserve">That gap is where resilience lives. Lengthening that gap by even a few seconds can completely change the outcome of any difficult moment.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The next time you feel a strong negative emotion today, whether frustration in traffic, annoyance at a coworker, or anger at a message, pause and count slowly to 10 before responding. During those 10 seconds, take one physiological sigh. Notice how your response differs from what you would have said immediately.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Think of a recent moment when you reacted instantly to something and later wished you had responded differently. What would have changed if you had given yourself 10 seconds before acting?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2026-03-22T10:35:34.712Z</dcterms:created>
  <dcterms:modified xsi:type="dcterms:W3CDTF">2026-03-22T10:35:34.712Z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