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The Resilience of Meaning</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Viktor Frankl's core insight from Man's Search for Meaning is that those who had a why to live could endure almost any how. This is not motivational poster material.</w:t>
      </w:r>
    </w:p>
    <w:p>
      <w:pPr>
        <w:spacing w:after="150"/>
      </w:pPr>
      <w:r>
        <w:rPr>
          <w:sz w:val="22"/>
          <w:szCs w:val="22"/>
        </w:rPr>
        <w:t xml:space="preserve">Frankl watched it play out in the concentration camps: prisoners with a clear sense of purpose survived situations that broke others. Modern research from the University of Michigan confirms that people with a strong sense of purpose show faster recovery from negative emotional events and lower inflammatory biomarkers during stress.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Write a personal purpose statement in one sentence. It does not need to be grand. It can be as specific as I am building a better life so my children never have to choose between school supplies and food. Put this sentence as the lock screen on your phone for the next week. Read it every time you pick up your phone.</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When life hits you hardest, what is the thing that makes you get back up? Is it a person, a goal, a belief, or a responsibility? How consciously are you connected to that why on a daily basis?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2026-03-22T10:35:34.726Z</dcterms:created>
  <dcterms:modified xsi:type="dcterms:W3CDTF">2026-03-22T10:35:34.726Z</dcterms:modified>
</cp:coreProperties>
</file>

<file path=docProps/custom.xml><?xml version="1.0" encoding="utf-8"?>
<Properties xmlns="http://schemas.openxmlformats.org/officeDocument/2006/custom-properties" xmlns:vt="http://schemas.openxmlformats.org/officeDocument/2006/docPropsVTypes"/>
</file>