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Setting a Financial North Star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Ray Dalio describes in Principles that without clear goals, you are navigating without a compass. Financial direction is not about a vague desire to be rich, it is about a specific number tied to a specific lifestyle by a specific date.</w:t>
      </w:r>
    </w:p>
    <w:p>
      <w:pPr>
        <w:spacing w:after="150"/>
      </w:pPr>
      <w:r>
        <w:rPr>
          <w:sz w:val="22"/>
          <w:szCs w:val="22"/>
        </w:rPr>
        <w:t xml:space="preserve">Research from Dominican University found that people who write down their goals are 42 percent more likely to achieve them. Your financial north star should be concrete enough that you can measure progress monthly.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one financial goal for 12 months from now. Make it specific: the exact peso amount, what it is for, and the date. Example: Save 60,000 pesos by March 2027 for emergency fund. Put this somewhere you will see it daily.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money were no object, what would your ideal Tuesday look like from morning to night? How far is your current financial trajectory from making that Tuesday real?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2026-03-22T10:35:33.811Z</dcterms:created>
  <dcterms:modified xsi:type="dcterms:W3CDTF">2026-03-22T10:35:33.811Z</dcterms:modified>
</cp:coreProperties>
</file>

<file path=docProps/custom.xml><?xml version="1.0" encoding="utf-8"?>
<Properties xmlns="http://schemas.openxmlformats.org/officeDocument/2006/custom-properties" xmlns:vt="http://schemas.openxmlformats.org/officeDocument/2006/docPropsVTypes"/>
</file>