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4: Opportunity Cost Is the Real Price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 says the real cost of anything is what you give up to get it. Every peso spent on one thing is a peso that cannot be invested elsewhere.</w:t>
      </w:r>
    </w:p>
    <w:p>
      <w:pPr>
        <w:spacing w:after="150"/>
      </w:pPr>
      <w:r>
        <w:rPr>
          <w:sz w:val="22"/>
          <w:szCs w:val="22"/>
        </w:rPr>
        <w:t xml:space="preserve">Morgan Housel illustrates this powerfully: a daily 150-peso milk tea habit costs 54,750 pesos per year, which invested at even modest returns over 10 years becomes significant capital. This is not about deprivation.</w:t>
      </w:r>
    </w:p>
    <w:p>
      <w:pPr>
        <w:spacing w:after="150"/>
      </w:pPr>
      <w:r>
        <w:rPr>
          <w:sz w:val="22"/>
          <w:szCs w:val="22"/>
        </w:rPr>
        <w:t xml:space="preserve">It is about making invisible costs visible so you can choose consciously.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Identify your one most frequent non-essential expense, maybe grab food delivery, milk tea, or cigarettes. Calculate what it costs you per month and per year. Then look up what that amount would become if invested in a UITF or MP2 account over 5 years. Write both numbers side by side.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If you could redirect just one daily spending habit toward your financial north star, which habit would give you the most progress with the least felt sacrifice?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2026-03-22T10:35:33.871Z</dcterms:created>
  <dcterms:modified xsi:type="dcterms:W3CDTF">2026-03-22T10:35:33.871Z</dcterms:modified>
</cp:coreProperties>
</file>

<file path=docProps/custom.xml><?xml version="1.0" encoding="utf-8"?>
<Properties xmlns="http://schemas.openxmlformats.org/officeDocument/2006/custom-properties" xmlns:vt="http://schemas.openxmlformats.org/officeDocument/2006/docPropsVTypes"/>
</file>