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Your Personal Decision Checklist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Ray Dalio credits much of Bridgewater's success to systematized decision-making. Atul Gawande's research in The Checklist Manifesto proves that even experts make better decisions with simple checklists.</w:t>
      </w:r>
    </w:p>
    <w:p>
      <w:pPr>
        <w:spacing w:after="150"/>
      </w:pPr>
      <w:r>
        <w:rPr>
          <w:sz w:val="22"/>
          <w:szCs w:val="22"/>
        </w:rPr>
        <w:t xml:space="preserve">For financial decisions above a certain threshold, you need a personal checklist that removes emotion from the process. This is not about being robotic.</w:t>
      </w:r>
    </w:p>
    <w:p>
      <w:pPr>
        <w:spacing w:after="150"/>
      </w:pPr>
      <w:r>
        <w:rPr>
          <w:sz w:val="22"/>
          <w:szCs w:val="22"/>
        </w:rPr>
        <w:t xml:space="preserve">It is about creating a reliable system for your future self when emotions run high.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5-item financial decision checklist for any purchase or investment over 5,000 pesos. Include questions like: Can I afford this without dipping into emergency savings? Have I waited at least 72 hours? Does this move me toward my financial north star? Save it as a note on your phone.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When was the last time you made a financial decision purely based on emotion, excitement, fear, or social pressure? What would have changed if you had paused and run it through a checklist?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2026-03-22T10:35:33.875Z</dcterms:created>
  <dcterms:modified xsi:type="dcterms:W3CDTF">2026-03-22T10:35:33.875Z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