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Diversification Is Not Just for the Rich</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Ray Dalio calls diversification the holy grail of investing because it is the only free lunch in finance. You do not need millions to diversify.</w:t>
      </w:r>
    </w:p>
    <w:p>
      <w:pPr>
        <w:spacing w:after="150"/>
      </w:pPr>
      <w:r>
        <w:rPr>
          <w:sz w:val="22"/>
          <w:szCs w:val="22"/>
        </w:rPr>
        <w:t xml:space="preserve">A BPO worker earning 20,000 pesos monthly can diversify across Pag-IBIG MP2 for safety, a UITF or index fund for growth, and a small side business for active income. Morgan Housel adds that diversification is an admission that you do not know the future, and that admission is actually the smartest position you can take.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List all your current sources of income and places where you keep money. If everything is in one basket, a single GCash account or one employer, identify one additional bucket you can open this week. Even moving 1,000 pesos into an MP2 or UITF account counts as diversifying.</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If your primary source of income disappeared tomorrow, how long could you survive? What does that answer tell you about how concentrated your financial risk currently 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2026-03-22T10:35:33.914Z</dcterms:created>
  <dcterms:modified xsi:type="dcterms:W3CDTF">2026-03-22T10:35:33.914Z</dcterms:modified>
</cp:coreProperties>
</file>

<file path=docProps/custom.xml><?xml version="1.0" encoding="utf-8"?>
<Properties xmlns="http://schemas.openxmlformats.org/officeDocument/2006/custom-properties" xmlns:vt="http://schemas.openxmlformats.org/officeDocument/2006/docPropsVTypes"/>
</file>