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Choosing Your Content Platform Based on Your Strengths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Not every content platform suits every person. Match your natural strengths: If you are comfortable on camera and can talk naturally — YouTube and TikTok. Filipino YouTube creators earn ₱50-₱200 per 1,000 views through AdSense, and the top Filipino YouTubers earn ₱100,000-₱500,000/month. If you write well — blogging with Google AdSense.</w:t>
      </w:r>
    </w:p>
    <w:p>
      <w:pPr>
        <w:spacing w:after="150"/>
      </w:pPr>
      <w:r>
        <w:rPr>
          <w:sz w:val="22"/>
          <w:szCs w:val="22"/>
        </w:rPr>
        <w:t xml:space="preserve">Philippine-focused blogs earn ₱5-₱30 per 1,000 pageviews. A blog with 50,000 monthly visitors earns ₱10,000-₱50,000/month. If you are good with visuals — Instagram with brand partnerships. Filipino micro-influencers with 10,000+ followers earn ₱2,000-₱10,000 per sponsored post.</w:t>
      </w:r>
    </w:p>
    <w:p>
      <w:pPr>
        <w:spacing w:after="150"/>
      </w:pPr>
      <w:r>
        <w:rPr>
          <w:sz w:val="22"/>
          <w:szCs w:val="22"/>
        </w:rPr>
        <w:t xml:space="preserve">You do not need to be on every platform. Pick one, master it, then expand. The money follows expertise, not platform-hopping.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Evaluate your content strengths honestly: (1) Record a 60-second video of yourself talking about something you know well. Watch it back — do you look natural and engaging? (2) Write 500 words about a topic you care about. Time yourself — was it easy or painful? (3) Create a visual Instagram-style post in Canva. Does it come naturally? Based on this exercise, rank the platforms: YouTube/TikTok, Blog/Writing, Instagram/Visual. Commit to your number one platform. Research 5 successful Filipino creators on that platform in a niche you could cover.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content format felt most natural? Were you surprised by the result? How does your chosen platform connect to the skills and interests from your Once profile?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2026-03-22T10:35:34.272Z</dcterms:created>
  <dcterms:modified xsi:type="dcterms:W3CDTF">2026-03-22T10:35:34.272Z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