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Monetization Paths: Ads, Sponsors, Products, and Tips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Content monetization has multiple streams — smart creators stack them. (1) Ad Revenue: YouTube Partner Program (1,000 subscribers + 4,000 watch hours), Google AdSense for blogs (apply after 20+ quality posts). Passive income that grows with your audience. (2) Sponsorships: brands pay you to feature their product.</w:t>
      </w:r>
    </w:p>
    <w:p>
      <w:pPr>
        <w:spacing w:after="150"/>
      </w:pPr>
      <w:r>
        <w:rPr>
          <w:sz w:val="22"/>
          <w:szCs w:val="22"/>
        </w:rPr>
        <w:t xml:space="preserve">Filipino micro-influencers can start pitching at 5,000 followers. Charge ₱2,000-₱5,000 per sponsored post initially. (3) Your own products: sell digital products, courses, or services to your audience. This is the highest margin — 100% goes to you.</w:t>
      </w:r>
    </w:p>
    <w:p>
      <w:pPr>
        <w:spacing w:after="150"/>
      </w:pPr>
      <w:r>
        <w:rPr>
          <w:sz w:val="22"/>
          <w:szCs w:val="22"/>
        </w:rPr>
        <w:t xml:space="preserve">(4) Tips and donations: GCash donations during live streams, Ko-fi, or Buy Me a Coffee. Effective for building community and earning from super fans. (5) Affiliate marketing: recommend products and earn commission on every sale (covered in depth in the next module). For beginners, focus on growing your audience first, then monetize through products and affiliates before you qualify for ad revenue.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Map your monetization timeline: (1) Month 1-3: grow audience, monetize with affiliate links and tip jar (GCash or Ko-fi). (2) Month 4-6: launch your first digital product for your audience, pitch first brand sponsorship. (3) Month 7-12: apply for YouTube Partner Program or Google AdSense, increase sponsorship rates, launch premium product. For each phase, estimate your income. Set up your first monetization right now: create a Ko-fi page (ko-fi.com) and add the link to your content bio. Research 3 brands in your niche you could pitch for a sponsored post.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Which monetization stream excites you most — passive ad revenue, the thrill of a sponsorship deal, or selling your own products? How does your choice reflect your personality and business style?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2026-03-22T10:35:34.285Z</dcterms:created>
  <dcterms:modified xsi:type="dcterms:W3CDTF">2026-03-22T10:35:34.285Z</dcterms:modified>
</cp:coreProperties>
</file>

<file path=docProps/custom.xml><?xml version="1.0" encoding="utf-8"?>
<Properties xmlns="http://schemas.openxmlformats.org/officeDocument/2006/custom-properties" xmlns:vt="http://schemas.openxmlformats.org/officeDocument/2006/docPropsVTypes"/>
</file>