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Why Your Email List Is Your Most Valuable Business Asset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Social media followers are rented — Facebook, TikTok, or YouTube can change algorithms or suspend your account overnight. Your email list is owned. You control it completely. No algorithm decides who sees your message — everyone on your list gets your email.</w:t>
      </w:r>
    </w:p>
    <w:p>
      <w:pPr>
        <w:spacing w:after="150"/>
      </w:pPr>
      <w:r>
        <w:rPr>
          <w:sz w:val="22"/>
          <w:szCs w:val="22"/>
        </w:rPr>
        <w:t xml:space="preserve">In the Philippines, email marketing has a 25-35% open rate (meaning 1 in 4 people reads your email), and email converts to sales at 3-5x the rate of social media. Even a small list of 500 engaged subscribers can generate ₱5,000-₱15,000/month through product sales, affiliate recommendations, and sponsored emails. The math: 500 subscribers × 30% open rate = 150 people reading your email. If 5% buy a ₱299 product = 7.5 sales = ₱2,243 per email.</w:t>
      </w:r>
    </w:p>
    <w:p>
      <w:pPr>
        <w:spacing w:after="150"/>
      </w:pPr>
      <w:r>
        <w:rPr>
          <w:sz w:val="22"/>
          <w:szCs w:val="22"/>
        </w:rPr>
        <w:t xml:space="preserve">Send 4 product emails per month = ₱8,970. That is from just 500 subscribers.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up your email marketing system today: (1) Create a free account on MailerLite (mailerlite.com) — free for up to 1,000 subscribers and includes automation. (2) Create a simple sign-up form. (3) Write your first "welcome email" — introduce yourself, tell subscribers what to expect, and deliver immediate value (a tip, resource, or freebie). (4) Add your sign-up link to all your social media bios, your website, and your link-in-bio page. Your email list has started — even if it is just you as the first subscriber.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concept of "owning" your audience change how you think about your online presence? If Instagram disappeared tomorrow, would your business survive? What role does email play in that safety net?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2026-03-22T10:35:34.316Z</dcterms:created>
  <dcterms:modified xsi:type="dcterms:W3CDTF">2026-03-22T10:35:34.316Z</dcterms:modified>
</cp:coreProperties>
</file>

<file path=docProps/custom.xml><?xml version="1.0" encoding="utf-8"?>
<Properties xmlns="http://schemas.openxmlformats.org/officeDocument/2006/custom-properties" xmlns:vt="http://schemas.openxmlformats.org/officeDocument/2006/docPropsVTypes"/>
</file>