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Aligning Daily Actions With Long-Term Meaning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Marcus Aurelius wrote each morning in his Meditations about the kind of person he wanted to be that day, not someday, but that specific day. Brene Brown's research shows that the gap between our values and our daily behaviors is the primary source of shame and dissatisfaction.</w:t>
      </w:r>
    </w:p>
    <w:p>
      <w:pPr>
        <w:spacing w:after="150"/>
      </w:pPr>
      <w:r>
        <w:rPr>
          <w:sz w:val="22"/>
          <w:szCs w:val="22"/>
        </w:rPr>
        <w:t xml:space="preserve">Viktor Frankl taught that meaning is not abstract: it shows up in what you actually do hour by hour. The test is simple: does how you spent today move you closer to or further from the person you want to become?.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At the end of today, review how you spent your time. Divide your activities into three categories: aligned with my purpose, neutral, and misaligned with my purpose. Calculate the percentage of your day in each category. Your goal for next week is to shift just 30 minutes from misaligned to aligned.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someone watched how you spent the last 7 days without knowing anything about your stated values or goals, what would they conclude your real purpose is? Does that match what you say matters most?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2026-03-22T10:35:34.878Z</dcterms:created>
  <dcterms:modified xsi:type="dcterms:W3CDTF">2026-03-22T10:35:34.878Z</dcterms:modified>
</cp:coreProperties>
</file>

<file path=docProps/custom.xml><?xml version="1.0" encoding="utf-8"?>
<Properties xmlns="http://schemas.openxmlformats.org/officeDocument/2006/custom-properties" xmlns:vt="http://schemas.openxmlformats.org/officeDocument/2006/docPropsVTypes"/>
</file>