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Finding Meaning in Work You Did Not Choose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Viktor Frankl observed that even in forced labor, prisoners who found meaning in their work survived at higher rates than those who saw it as meaningless. Ryan Holiday writes about amor fati, the Stoic practice of loving your fate, not just accepting it.</w:t>
      </w:r>
    </w:p>
    <w:p>
      <w:pPr>
        <w:spacing w:after="150"/>
      </w:pPr>
      <w:r>
        <w:rPr>
          <w:sz w:val="22"/>
          <w:szCs w:val="22"/>
        </w:rPr>
        <w:t xml:space="preserve">For many Filipinos working in BPOs, OFW jobs, or roles they took out of necessity rather than passion, this reframe is powerful. You may not have chosen the job, but you can choose the meaning you bring to it while you build toward something more aligned.</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3 ways your current work, even if it is not your dream job, serves a purpose larger than a paycheck. Maybe it supports your family, builds a skill you will need later, or connects you to people who matter. Post these 3 reasons where you will see them before your next shift.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would change in how you show up to work tomorrow if you saw it not as a dead end but as a chapter in a longer story that you are writing on purpose?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2026-03-22T10:35:34.882Z</dcterms:created>
  <dcterms:modified xsi:type="dcterms:W3CDTF">2026-03-22T10:35:34.882Z</dcterms:modified>
</cp:coreProperties>
</file>

<file path=docProps/custom.xml><?xml version="1.0" encoding="utf-8"?>
<Properties xmlns="http://schemas.openxmlformats.org/officeDocument/2006/custom-properties" xmlns:vt="http://schemas.openxmlformats.org/officeDocument/2006/docPropsVTypes"/>
</file>