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5: Legacy: What You Leave Behind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Marcus Aurelius was the most powerful man in the world, yet he wrote to himself that time is a river and soon everything you know will be swept away. This was not depressing to him.</w:t>
      </w:r>
    </w:p>
    <w:p>
      <w:pPr>
        <w:spacing w:after="150"/>
      </w:pPr>
      <w:r>
        <w:rPr>
          <w:sz w:val="22"/>
          <w:szCs w:val="22"/>
        </w:rPr>
        <w:t xml:space="preserve">It was clarifying. Ryan Holiday explains that the Stoics used mortality as a tool for prioritization: if your time is limited, what actually matters? Brene Brown adds that legacy is not about monuments but about how you made people feel.</w:t>
      </w:r>
    </w:p>
    <w:p>
      <w:pPr>
        <w:spacing w:after="150"/>
      </w:pPr>
      <w:r>
        <w:rPr>
          <w:sz w:val="22"/>
          <w:szCs w:val="22"/>
        </w:rPr>
        <w:t xml:space="preserve">In Filipino culture, where family is central, your legacy is often the values and habits you pass to the next generation.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Write a letter to someone you love, a child, a sibling, a partner, a parent, that they would find after you are gone. In it, describe the 3 most important lessons you have learned in your life so far. You do not have to send it. The exercise of writing it will clarify what you truly believe matters.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If you had one year left, what would you stop doing immediately and what would you start doing tomorrow? What is stopping you from making those changes now?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2026-03-22T10:35:34.886Z</dcterms:created>
  <dcterms:modified xsi:type="dcterms:W3CDTF">2026-03-22T10:35:34.886Z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