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Building a Sustainable Gratitude Ritual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James Clear's habit architecture applies directly to gratitude: it needs a cue, a routine, and a reward to become automatic. Andrew Huberman recommends pairing gratitude with an existing daily anchor.</w:t>
      </w:r>
    </w:p>
    <w:p>
      <w:pPr>
        <w:spacing w:after="150"/>
      </w:pPr>
      <w:r>
        <w:rPr>
          <w:sz w:val="22"/>
          <w:szCs w:val="22"/>
        </w:rPr>
        <w:t xml:space="preserve">Thich Nhat Hanh suggests using ordinary moments, like washing dishes or waiting in line, as gratitude triggers. The goal is not to add another task to your to-do list but to weave gratitude into the fabric of your existing day so naturally that it becomes how you see the world, not something extra you do.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Choose one daily anchor moment, maybe your morning coffee, your jeepney ride, or brushing your teeth at night, and pair a 60-second gratitude practice with it. During that 60 seconds, mentally list 3 specific things you are grateful for. Use habit stacking: After I pour my morning coffee, I will think of 3 things I am grateful for before taking the first sip. Start today.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After practicing gratitude for these 5 lessons, has anything shifted in how you see your daily life? What would your life look like in one year if you kept this practice going every single day?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2026-03-22T10:35:34.906Z</dcterms:created>
  <dcterms:modified xsi:type="dcterms:W3CDTF">2026-03-22T10:35:34.906Z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