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Morning Intention Setting</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Marcus Aurelius wrote in his Meditations every morning, preparing himself for the day by reminding himself of his values and anticipating challenges. Ryan Holiday calls this the Stoic morning ritual: deciding in advance who you want to be before the world starts pushing you around.</w:t>
      </w:r>
    </w:p>
    <w:p>
      <w:pPr>
        <w:spacing w:after="150"/>
      </w:pPr>
      <w:r>
        <w:rPr>
          <w:sz w:val="22"/>
          <w:szCs w:val="22"/>
        </w:rPr>
        <w:t xml:space="preserve">Thich Nhat Hanh teaches that the first moments of the day set the tone for everything that follows. Research on implementation intentions from NYU confirms that people who set specific intentions in the morning are 2 to 3 times more likely to follow through.</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Tomorrow morning, before checking your phone, spend 3 minutes writing your answers to: What is my one most important task today? How do I want to show up today, what kind of person do I want to be? What is one thing I will not do today, such as complaining, scrolling, or eating junk? Do this every morning for one week.</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is the first thing you currently do each morning? Is it intentional and aligned with who you want to be, or is it reactive and driven by notifications and habit?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2026-03-22T10:35:34.916Z</dcterms:created>
  <dcterms:modified xsi:type="dcterms:W3CDTF">2026-03-22T10:35:34.916Z</dcterms:modified>
</cp:coreProperties>
</file>

<file path=docProps/custom.xml><?xml version="1.0" encoding="utf-8"?>
<Properties xmlns="http://schemas.openxmlformats.org/officeDocument/2006/custom-properties" xmlns:vt="http://schemas.openxmlformats.org/officeDocument/2006/docPropsVTypes"/>
</file>