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394" w14:textId="77777777" w:rsidR="006970EF" w:rsidRPr="00C57C81" w:rsidRDefault="006970EF" w:rsidP="00C57C81">
      <w:pPr>
        <w:spacing w:line="360" w:lineRule="auto"/>
        <w:jc w:val="both"/>
        <w:rPr>
          <w:rFonts w:ascii="Times New Roman" w:hAnsi="Times New Roman" w:cs="Times New Roman"/>
          <w:sz w:val="24"/>
          <w:szCs w:val="24"/>
          <w:lang w:val="en-US"/>
        </w:rPr>
      </w:pPr>
    </w:p>
    <w:p w14:paraId="24C82D08" w14:textId="77777777" w:rsidR="00C57C81" w:rsidRPr="00C57C81" w:rsidRDefault="00C57C81" w:rsidP="00C57C81">
      <w:pPr>
        <w:spacing w:line="360" w:lineRule="auto"/>
        <w:jc w:val="both"/>
        <w:rPr>
          <w:rFonts w:ascii="Times New Roman" w:hAnsi="Times New Roman" w:cs="Times New Roman"/>
          <w:b/>
          <w:bCs/>
          <w:sz w:val="24"/>
          <w:szCs w:val="24"/>
        </w:rPr>
      </w:pPr>
      <w:r w:rsidRPr="00C57C81">
        <w:rPr>
          <w:rFonts w:ascii="Times New Roman" w:hAnsi="Times New Roman" w:cs="Times New Roman"/>
          <w:b/>
          <w:bCs/>
          <w:i/>
          <w:iCs/>
          <w:sz w:val="24"/>
          <w:szCs w:val="24"/>
        </w:rPr>
        <w:t>Technologies</w:t>
      </w:r>
    </w:p>
    <w:p w14:paraId="2E744022" w14:textId="15014CDA" w:rsidR="00C57C81" w:rsidRPr="00C57C81" w:rsidRDefault="00C57C81" w:rsidP="00C57C81">
      <w:pPr>
        <w:spacing w:line="360" w:lineRule="auto"/>
        <w:jc w:val="both"/>
        <w:rPr>
          <w:rFonts w:ascii="Times New Roman" w:hAnsi="Times New Roman" w:cs="Times New Roman"/>
          <w:sz w:val="24"/>
          <w:szCs w:val="24"/>
        </w:rPr>
      </w:pPr>
      <w:r w:rsidRPr="00C57C81">
        <w:rPr>
          <w:rFonts w:ascii="Times New Roman" w:hAnsi="Times New Roman" w:cs="Times New Roman"/>
          <w:i/>
          <w:iCs/>
          <w:sz w:val="24"/>
          <w:szCs w:val="24"/>
        </w:rPr>
        <w:t>Technologies</w:t>
      </w:r>
      <w:r w:rsidRPr="00C57C81">
        <w:rPr>
          <w:rFonts w:ascii="Times New Roman" w:hAnsi="Times New Roman" w:cs="Times New Roman"/>
          <w:sz w:val="24"/>
          <w:szCs w:val="24"/>
        </w:rPr>
        <w:t> is an international, </w:t>
      </w:r>
      <w:r w:rsidRPr="00C57C81">
        <w:rPr>
          <w:rFonts w:ascii="Times New Roman" w:hAnsi="Times New Roman" w:cs="Times New Roman"/>
          <w:b/>
          <w:bCs/>
          <w:sz w:val="24"/>
          <w:szCs w:val="24"/>
        </w:rPr>
        <w:t>peer-reviewed</w:t>
      </w:r>
      <w:r w:rsidRPr="00C57C81">
        <w:rPr>
          <w:rFonts w:ascii="Times New Roman" w:hAnsi="Times New Roman" w:cs="Times New Roman"/>
          <w:sz w:val="24"/>
          <w:szCs w:val="24"/>
        </w:rPr>
        <w:t>, open access journal singularly focusing on emerging scientific and technological trends and is published monthly online by MDPI.</w:t>
      </w:r>
      <w:r w:rsidRPr="00C57C81">
        <w:rPr>
          <w:rFonts w:ascii="Times New Roman" w:hAnsi="Times New Roman" w:cs="Times New Roman"/>
          <w:sz w:val="24"/>
          <w:szCs w:val="24"/>
        </w:rPr>
        <w:br/>
      </w:r>
    </w:p>
    <w:p w14:paraId="3CCD22FB" w14:textId="5EDE7CD6" w:rsidR="00C57C81" w:rsidRPr="00C57C81" w:rsidRDefault="00C57C81" w:rsidP="00C57C81">
      <w:pPr>
        <w:numPr>
          <w:ilvl w:val="0"/>
          <w:numId w:val="1"/>
        </w:numPr>
        <w:spacing w:line="360" w:lineRule="auto"/>
        <w:jc w:val="both"/>
        <w:rPr>
          <w:rFonts w:ascii="Times New Roman" w:hAnsi="Times New Roman" w:cs="Times New Roman"/>
          <w:sz w:val="24"/>
          <w:szCs w:val="24"/>
        </w:rPr>
      </w:pPr>
      <w:r w:rsidRPr="00C57C81">
        <w:rPr>
          <w:rFonts w:ascii="Times New Roman" w:hAnsi="Times New Roman" w:cs="Times New Roman"/>
          <w:b/>
          <w:bCs/>
          <w:sz w:val="24"/>
          <w:szCs w:val="24"/>
        </w:rPr>
        <w:t>Open Access</w:t>
      </w:r>
      <w:r w:rsidRPr="00C57C81">
        <w:rPr>
          <w:rFonts w:ascii="Times New Roman" w:hAnsi="Times New Roman" w:cs="Times New Roman"/>
          <w:sz w:val="24"/>
          <w:szCs w:val="24"/>
        </w:rPr>
        <w:t>— free for readers, with </w:t>
      </w:r>
      <w:r w:rsidRPr="00C57C81">
        <w:rPr>
          <w:rFonts w:ascii="Times New Roman" w:hAnsi="Times New Roman" w:cs="Times New Roman"/>
          <w:b/>
          <w:bCs/>
          <w:sz w:val="24"/>
          <w:szCs w:val="24"/>
        </w:rPr>
        <w:t>article processing charges (APC)</w:t>
      </w:r>
      <w:r w:rsidRPr="00C57C81">
        <w:rPr>
          <w:rFonts w:ascii="Times New Roman" w:hAnsi="Times New Roman" w:cs="Times New Roman"/>
          <w:sz w:val="24"/>
          <w:szCs w:val="24"/>
        </w:rPr>
        <w:t> paid by authors or their institutions.</w:t>
      </w:r>
    </w:p>
    <w:p w14:paraId="24C3CDBA" w14:textId="428A88F1" w:rsidR="00C57C81" w:rsidRPr="00C57C81" w:rsidRDefault="00C57C81" w:rsidP="00C57C81">
      <w:pPr>
        <w:numPr>
          <w:ilvl w:val="0"/>
          <w:numId w:val="1"/>
        </w:numPr>
        <w:spacing w:line="360" w:lineRule="auto"/>
        <w:jc w:val="both"/>
        <w:rPr>
          <w:rFonts w:ascii="Times New Roman" w:hAnsi="Times New Roman" w:cs="Times New Roman"/>
          <w:sz w:val="24"/>
          <w:szCs w:val="24"/>
        </w:rPr>
      </w:pPr>
      <w:r w:rsidRPr="00C57C81">
        <w:rPr>
          <w:rFonts w:ascii="Times New Roman" w:hAnsi="Times New Roman" w:cs="Times New Roman"/>
          <w:b/>
          <w:bCs/>
          <w:sz w:val="24"/>
          <w:szCs w:val="24"/>
        </w:rPr>
        <w:t>High Visibility:</w:t>
      </w:r>
      <w:r w:rsidRPr="00C57C81">
        <w:rPr>
          <w:rFonts w:ascii="Times New Roman" w:hAnsi="Times New Roman" w:cs="Times New Roman"/>
          <w:sz w:val="24"/>
          <w:szCs w:val="24"/>
        </w:rPr>
        <w:t> indexed within </w:t>
      </w:r>
      <w:r w:rsidRPr="00C57C81">
        <w:rPr>
          <w:rFonts w:ascii="Times New Roman" w:hAnsi="Times New Roman" w:cs="Times New Roman"/>
          <w:b/>
          <w:bCs/>
          <w:sz w:val="24"/>
          <w:szCs w:val="24"/>
        </w:rPr>
        <w:t>ESCI (Web of Science)</w:t>
      </w:r>
      <w:r w:rsidRPr="00C57C81">
        <w:rPr>
          <w:rFonts w:ascii="Times New Roman" w:hAnsi="Times New Roman" w:cs="Times New Roman"/>
          <w:sz w:val="24"/>
          <w:szCs w:val="24"/>
        </w:rPr>
        <w:t>, </w:t>
      </w:r>
      <w:r w:rsidRPr="00C57C81">
        <w:rPr>
          <w:rFonts w:ascii="Times New Roman" w:hAnsi="Times New Roman" w:cs="Times New Roman"/>
          <w:b/>
          <w:bCs/>
          <w:sz w:val="24"/>
          <w:szCs w:val="24"/>
        </w:rPr>
        <w:t>Scopus</w:t>
      </w:r>
      <w:r w:rsidRPr="00C57C81">
        <w:rPr>
          <w:rFonts w:ascii="Times New Roman" w:hAnsi="Times New Roman" w:cs="Times New Roman"/>
          <w:sz w:val="24"/>
          <w:szCs w:val="24"/>
        </w:rPr>
        <w:t>, </w:t>
      </w:r>
      <w:proofErr w:type="spellStart"/>
      <w:r w:rsidRPr="00C57C81">
        <w:rPr>
          <w:rFonts w:ascii="Times New Roman" w:hAnsi="Times New Roman" w:cs="Times New Roman"/>
          <w:b/>
          <w:bCs/>
          <w:sz w:val="24"/>
          <w:szCs w:val="24"/>
        </w:rPr>
        <w:t>Inspec</w:t>
      </w:r>
      <w:proofErr w:type="spellEnd"/>
      <w:r w:rsidRPr="00C57C81">
        <w:rPr>
          <w:rFonts w:ascii="Times New Roman" w:hAnsi="Times New Roman" w:cs="Times New Roman"/>
          <w:sz w:val="24"/>
          <w:szCs w:val="24"/>
        </w:rPr>
        <w:t>, </w:t>
      </w:r>
      <w:r w:rsidRPr="00C57C81">
        <w:rPr>
          <w:rFonts w:ascii="Times New Roman" w:hAnsi="Times New Roman" w:cs="Times New Roman"/>
          <w:b/>
          <w:bCs/>
          <w:sz w:val="24"/>
          <w:szCs w:val="24"/>
        </w:rPr>
        <w:t>INSPIRE</w:t>
      </w:r>
      <w:r w:rsidRPr="00C57C81">
        <w:rPr>
          <w:rFonts w:ascii="Times New Roman" w:hAnsi="Times New Roman" w:cs="Times New Roman"/>
          <w:sz w:val="24"/>
          <w:szCs w:val="24"/>
        </w:rPr>
        <w:t>, and </w:t>
      </w:r>
      <w:r w:rsidRPr="00C57C81">
        <w:rPr>
          <w:rFonts w:ascii="Times New Roman" w:hAnsi="Times New Roman" w:cs="Times New Roman"/>
          <w:b/>
          <w:bCs/>
          <w:sz w:val="24"/>
          <w:szCs w:val="24"/>
        </w:rPr>
        <w:t>other databases</w:t>
      </w:r>
      <w:r w:rsidRPr="00C57C81">
        <w:rPr>
          <w:rFonts w:ascii="Times New Roman" w:hAnsi="Times New Roman" w:cs="Times New Roman"/>
          <w:sz w:val="24"/>
          <w:szCs w:val="24"/>
        </w:rPr>
        <w:t>.</w:t>
      </w:r>
    </w:p>
    <w:p w14:paraId="06B82A8C" w14:textId="77777777" w:rsidR="00C57C81" w:rsidRPr="00C57C81" w:rsidRDefault="00C57C81" w:rsidP="00C57C81">
      <w:pPr>
        <w:numPr>
          <w:ilvl w:val="0"/>
          <w:numId w:val="1"/>
        </w:numPr>
        <w:spacing w:line="360" w:lineRule="auto"/>
        <w:jc w:val="both"/>
        <w:rPr>
          <w:rFonts w:ascii="Times New Roman" w:hAnsi="Times New Roman" w:cs="Times New Roman"/>
          <w:sz w:val="24"/>
          <w:szCs w:val="24"/>
        </w:rPr>
      </w:pPr>
      <w:r w:rsidRPr="00C57C81">
        <w:rPr>
          <w:rFonts w:ascii="Times New Roman" w:hAnsi="Times New Roman" w:cs="Times New Roman"/>
          <w:b/>
          <w:bCs/>
          <w:sz w:val="24"/>
          <w:szCs w:val="24"/>
        </w:rPr>
        <w:t>Journal Rank:</w:t>
      </w:r>
      <w:r w:rsidRPr="00C57C81">
        <w:rPr>
          <w:rFonts w:ascii="Times New Roman" w:hAnsi="Times New Roman" w:cs="Times New Roman"/>
          <w:sz w:val="24"/>
          <w:szCs w:val="24"/>
        </w:rPr>
        <w:t xml:space="preserve"> JCR - Q1 (Engineering, Multidisciplinary) / </w:t>
      </w:r>
      <w:proofErr w:type="spellStart"/>
      <w:r w:rsidRPr="00C57C81">
        <w:rPr>
          <w:rFonts w:ascii="Times New Roman" w:hAnsi="Times New Roman" w:cs="Times New Roman"/>
          <w:sz w:val="24"/>
          <w:szCs w:val="24"/>
        </w:rPr>
        <w:t>CiteScore</w:t>
      </w:r>
      <w:proofErr w:type="spellEnd"/>
      <w:r w:rsidRPr="00C57C81">
        <w:rPr>
          <w:rFonts w:ascii="Times New Roman" w:hAnsi="Times New Roman" w:cs="Times New Roman"/>
          <w:sz w:val="24"/>
          <w:szCs w:val="24"/>
        </w:rPr>
        <w:t> - Q1 (Computer Science (miscellaneous))</w:t>
      </w:r>
    </w:p>
    <w:p w14:paraId="6244E565" w14:textId="77777777" w:rsidR="00C57C81" w:rsidRPr="00C57C81" w:rsidRDefault="00C57C81" w:rsidP="00C57C81">
      <w:pPr>
        <w:numPr>
          <w:ilvl w:val="0"/>
          <w:numId w:val="1"/>
        </w:numPr>
        <w:spacing w:line="360" w:lineRule="auto"/>
        <w:jc w:val="both"/>
        <w:rPr>
          <w:rFonts w:ascii="Times New Roman" w:hAnsi="Times New Roman" w:cs="Times New Roman"/>
          <w:sz w:val="24"/>
          <w:szCs w:val="24"/>
        </w:rPr>
      </w:pPr>
      <w:r w:rsidRPr="00C57C81">
        <w:rPr>
          <w:rFonts w:ascii="Times New Roman" w:hAnsi="Times New Roman" w:cs="Times New Roman"/>
          <w:b/>
          <w:bCs/>
          <w:sz w:val="24"/>
          <w:szCs w:val="24"/>
        </w:rPr>
        <w:t>Rapid Publication:</w:t>
      </w:r>
      <w:r w:rsidRPr="00C57C81">
        <w:rPr>
          <w:rFonts w:ascii="Times New Roman" w:hAnsi="Times New Roman" w:cs="Times New Roman"/>
          <w:sz w:val="24"/>
          <w:szCs w:val="24"/>
        </w:rPr>
        <w:t> manuscripts are peer-reviewed and a first decision is provided to authors approximately 24.6 days after submission; acceptance to publication is undertaken in 3.9 days (median values for papers published in this journal in the first half of 2024).</w:t>
      </w:r>
    </w:p>
    <w:p w14:paraId="082137CD" w14:textId="77777777" w:rsidR="00C57C81" w:rsidRPr="00C57C81" w:rsidRDefault="00C57C81" w:rsidP="00C57C81">
      <w:pPr>
        <w:numPr>
          <w:ilvl w:val="0"/>
          <w:numId w:val="1"/>
        </w:numPr>
        <w:spacing w:line="360" w:lineRule="auto"/>
        <w:jc w:val="both"/>
        <w:rPr>
          <w:rFonts w:ascii="Times New Roman" w:hAnsi="Times New Roman" w:cs="Times New Roman"/>
          <w:sz w:val="24"/>
          <w:szCs w:val="24"/>
        </w:rPr>
      </w:pPr>
      <w:r w:rsidRPr="00C57C81">
        <w:rPr>
          <w:rFonts w:ascii="Times New Roman" w:hAnsi="Times New Roman" w:cs="Times New Roman"/>
          <w:b/>
          <w:bCs/>
          <w:sz w:val="24"/>
          <w:szCs w:val="24"/>
        </w:rPr>
        <w:t>Recognition of Reviewers:</w:t>
      </w:r>
      <w:r w:rsidRPr="00C57C81">
        <w:rPr>
          <w:rFonts w:ascii="Times New Roman" w:hAnsi="Times New Roman" w:cs="Times New Roman"/>
          <w:sz w:val="24"/>
          <w:szCs w:val="24"/>
        </w:rPr>
        <w:t> reviewers who provide timely, thorough peer-review reports receive vouchers entitling them to a discount on the APC of their next publication in any MDPI journal, in appreciation of the work done.</w:t>
      </w:r>
    </w:p>
    <w:p w14:paraId="0013A57E" w14:textId="77777777" w:rsidR="00C57C81" w:rsidRPr="00C57C81" w:rsidRDefault="00C57C81" w:rsidP="00C57C81">
      <w:pPr>
        <w:spacing w:line="360" w:lineRule="auto"/>
        <w:jc w:val="both"/>
        <w:rPr>
          <w:rFonts w:ascii="Times New Roman" w:hAnsi="Times New Roman" w:cs="Times New Roman"/>
          <w:sz w:val="24"/>
          <w:szCs w:val="24"/>
          <w:lang w:val="en-US"/>
        </w:rPr>
      </w:pPr>
    </w:p>
    <w:p w14:paraId="76257E79" w14:textId="77777777" w:rsidR="00C57C81" w:rsidRPr="00C57C81" w:rsidRDefault="00C57C81" w:rsidP="00C57C81">
      <w:pPr>
        <w:spacing w:line="360" w:lineRule="auto"/>
        <w:jc w:val="both"/>
        <w:rPr>
          <w:rFonts w:ascii="Times New Roman" w:hAnsi="Times New Roman" w:cs="Times New Roman"/>
          <w:sz w:val="24"/>
          <w:szCs w:val="24"/>
          <w:lang w:val="en-US"/>
        </w:rPr>
      </w:pPr>
    </w:p>
    <w:p w14:paraId="1FDA973D" w14:textId="60747637" w:rsidR="00C57C81" w:rsidRPr="00C57C81" w:rsidRDefault="00C57C81" w:rsidP="00C57C81">
      <w:pPr>
        <w:spacing w:line="360" w:lineRule="auto"/>
        <w:jc w:val="both"/>
        <w:rPr>
          <w:rFonts w:ascii="Times New Roman" w:hAnsi="Times New Roman" w:cs="Times New Roman"/>
          <w:sz w:val="24"/>
          <w:szCs w:val="24"/>
        </w:rPr>
      </w:pPr>
      <w:r w:rsidRPr="00C57C81">
        <w:rPr>
          <w:rFonts w:ascii="Times New Roman" w:hAnsi="Times New Roman" w:cs="Times New Roman"/>
          <w:sz w:val="24"/>
          <w:szCs w:val="24"/>
        </w:rPr>
        <w:t>applications; in particular, problems that involved non-linearity of datasets. Recent advancements in deep learning methods deliver various usages and applications in extremely different areas such as image processing, natural language processing (NLP), numerical data analysis and predictions, and voice recognition. However, deep learning comes with restrictions, such as expensive training processes (time and processing) and the requirement of extensive training data (</w:t>
      </w:r>
      <w:proofErr w:type="spellStart"/>
      <w:r w:rsidRPr="00C57C81">
        <w:rPr>
          <w:rFonts w:ascii="Times New Roman" w:hAnsi="Times New Roman" w:cs="Times New Roman"/>
          <w:sz w:val="24"/>
          <w:szCs w:val="24"/>
        </w:rPr>
        <w:t>labeled</w:t>
      </w:r>
      <w:proofErr w:type="spellEnd"/>
      <w:r w:rsidRPr="00C57C81">
        <w:rPr>
          <w:rFonts w:ascii="Times New Roman" w:hAnsi="Times New Roman" w:cs="Times New Roman"/>
          <w:sz w:val="24"/>
          <w:szCs w:val="24"/>
        </w:rPr>
        <w:t xml:space="preserve"> data).</w:t>
      </w:r>
    </w:p>
    <w:p w14:paraId="1FE8C572" w14:textId="3547952D" w:rsidR="00C57C81" w:rsidRPr="00C57C81" w:rsidRDefault="00C57C81" w:rsidP="00C57C81">
      <w:pPr>
        <w:spacing w:line="360" w:lineRule="auto"/>
        <w:jc w:val="both"/>
        <w:rPr>
          <w:rFonts w:ascii="Times New Roman" w:hAnsi="Times New Roman" w:cs="Times New Roman"/>
          <w:sz w:val="24"/>
          <w:szCs w:val="24"/>
        </w:rPr>
      </w:pPr>
      <w:r w:rsidRPr="00C57C81">
        <w:rPr>
          <w:rFonts w:ascii="Times New Roman" w:hAnsi="Times New Roman" w:cs="Times New Roman"/>
          <w:sz w:val="24"/>
          <w:szCs w:val="24"/>
        </w:rPr>
        <w:t xml:space="preserve">Since the start of the Machine Learning (ML) era, transfer learning has been a neat exploration for scientists. Before the rise of deep learning models, transfer learning was known as domain adaptation and focused on homogeneous data sets and how to relate such sets to each other </w:t>
      </w:r>
      <w:r w:rsidRPr="00C57C81">
        <w:rPr>
          <w:rFonts w:ascii="Times New Roman" w:hAnsi="Times New Roman" w:cs="Times New Roman"/>
          <w:sz w:val="24"/>
          <w:szCs w:val="24"/>
        </w:rPr>
        <w:lastRenderedPageBreak/>
        <w:t>because of the nature of ML algorithms. Traditional ML models have less dependency on the dataset size, and usually, their training is less costly than deep learning models since they have been mostly designed for linear problems. Therefore, the motivation for using transfer learning in deep learning is higher than ever in the AI (Artificial Intelligence) and ML fields since it can address the two restraints of extensive training data and training costs.</w:t>
      </w:r>
    </w:p>
    <w:p w14:paraId="05EA5568" w14:textId="77777777" w:rsidR="00C57C81" w:rsidRPr="00C57C81" w:rsidRDefault="00C57C81" w:rsidP="00C57C81">
      <w:pPr>
        <w:spacing w:line="360" w:lineRule="auto"/>
        <w:jc w:val="both"/>
        <w:rPr>
          <w:rFonts w:ascii="Times New Roman" w:hAnsi="Times New Roman" w:cs="Times New Roman"/>
          <w:sz w:val="24"/>
          <w:szCs w:val="24"/>
          <w:lang w:val="en-US"/>
        </w:rPr>
      </w:pPr>
    </w:p>
    <w:p w14:paraId="7FC04F46" w14:textId="426FF10A" w:rsidR="00C57C81" w:rsidRPr="00C57C81" w:rsidRDefault="00C57C81" w:rsidP="00C57C81">
      <w:pPr>
        <w:spacing w:line="360" w:lineRule="auto"/>
        <w:jc w:val="both"/>
        <w:rPr>
          <w:rFonts w:ascii="Times New Roman" w:hAnsi="Times New Roman" w:cs="Times New Roman"/>
          <w:sz w:val="24"/>
          <w:szCs w:val="24"/>
        </w:rPr>
      </w:pPr>
      <w:r w:rsidRPr="00C57C81">
        <w:rPr>
          <w:rFonts w:ascii="Times New Roman" w:hAnsi="Times New Roman" w:cs="Times New Roman"/>
          <w:sz w:val="24"/>
          <w:szCs w:val="24"/>
        </w:rPr>
        <w:t>An untrained DL uses a random initializing weight for nodes, and during the expensive training process, those weights adjust to the most optimized values by applying an optimization algorithm for a specific task (dataset). Remarkably, Ref. proved that initializing those weights based on a trained network with even a very distant dataset improves the training performance compared to the random initialization.</w:t>
      </w:r>
    </w:p>
    <w:p w14:paraId="0FAE3954" w14:textId="56496C0F" w:rsidR="00C57C81" w:rsidRPr="00C57C81" w:rsidRDefault="00C57C81" w:rsidP="00C57C81">
      <w:pPr>
        <w:spacing w:line="360" w:lineRule="auto"/>
        <w:jc w:val="both"/>
        <w:rPr>
          <w:rFonts w:ascii="Times New Roman" w:hAnsi="Times New Roman" w:cs="Times New Roman"/>
          <w:sz w:val="24"/>
          <w:szCs w:val="24"/>
        </w:rPr>
      </w:pPr>
      <w:r w:rsidRPr="00C57C81">
        <w:rPr>
          <w:rFonts w:ascii="Times New Roman" w:hAnsi="Times New Roman" w:cs="Times New Roman"/>
          <w:sz w:val="24"/>
          <w:szCs w:val="24"/>
        </w:rPr>
        <w:t>Deep transfer learning differs from semi-supervised learning since, in DTL, the source and target datasets can have a different distribution and just be related to each other, while in semi-supervised learning, the source and target data are from the same dataset, only the target set does not have the labels. DTL is also not the same as Multiview learning, since Multiview learning uses two or more distinct datasets to improve the quality of one task, e.g., video datasets can be separated into image and audio datasets. Last but not least, DTL differs from Multitask learning despite many shared similarities. The most fundamental difference is that in Multitask learning, the tasks use interconnections to boost each other, and knowledge transfer happens concurrently between related tasks. In contrast in DTL, the target domain is the focus, and the knowledge has already been obtained for target data from source data, and they do not need to be related or function simultaneously.</w:t>
      </w:r>
    </w:p>
    <w:p w14:paraId="59C58D3B" w14:textId="77777777" w:rsidR="00C57C81" w:rsidRPr="00C57C81" w:rsidRDefault="00C57C81" w:rsidP="00C57C81">
      <w:pPr>
        <w:spacing w:line="360" w:lineRule="auto"/>
        <w:jc w:val="both"/>
        <w:rPr>
          <w:rFonts w:ascii="Times New Roman" w:hAnsi="Times New Roman" w:cs="Times New Roman"/>
          <w:sz w:val="24"/>
          <w:szCs w:val="24"/>
          <w:lang w:val="en-US"/>
        </w:rPr>
      </w:pPr>
    </w:p>
    <w:p w14:paraId="388F2478" w14:textId="50A103A1" w:rsidR="00C57C81" w:rsidRPr="00C57C81" w:rsidRDefault="00C57C81" w:rsidP="00C57C81">
      <w:pPr>
        <w:spacing w:line="360" w:lineRule="auto"/>
        <w:jc w:val="both"/>
        <w:rPr>
          <w:rFonts w:ascii="Times New Roman" w:hAnsi="Times New Roman" w:cs="Times New Roman"/>
          <w:sz w:val="24"/>
          <w:szCs w:val="24"/>
          <w:lang w:val="en-US"/>
        </w:rPr>
      </w:pPr>
      <w:r w:rsidRPr="00C57C81">
        <w:rPr>
          <w:rFonts w:ascii="Times New Roman" w:hAnsi="Times New Roman" w:cs="Times New Roman"/>
          <w:sz w:val="24"/>
          <w:szCs w:val="24"/>
        </w:rPr>
        <w:t>Other than the model-based and adversarial-based approaches, all other categories have been explored deeply during the last couple of decades for different ML techniques known as domain adaptation or transfer learning. However, most of those techniques are still applicable to deep transfer learning (DTL) as well. Model-based (parameter-based) approaches are the most applied techniques in DTL since they can tackle the domain adaptation between the source and target data by adjusting the network (model). In other words, deep transfer learning is mainly focused on model-based approaches. Remarkably, model-based approaches in deep learning models can even tackle the adaptation of a very distant source and target data</w:t>
      </w:r>
    </w:p>
    <w:sectPr w:rsidR="00C57C81" w:rsidRPr="00C57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27FF3"/>
    <w:multiLevelType w:val="multilevel"/>
    <w:tmpl w:val="CA0A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26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C81"/>
    <w:rsid w:val="0027082E"/>
    <w:rsid w:val="005022F3"/>
    <w:rsid w:val="006970EF"/>
    <w:rsid w:val="008D3396"/>
    <w:rsid w:val="00C57C81"/>
    <w:rsid w:val="00D60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11D5"/>
  <w15:chartTrackingRefBased/>
  <w15:docId w15:val="{4BC5435D-DE50-4BCB-90F6-D7A3BBDC9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7C81"/>
    <w:rPr>
      <w:color w:val="0563C1" w:themeColor="hyperlink"/>
      <w:u w:val="single"/>
    </w:rPr>
  </w:style>
  <w:style w:type="character" w:styleId="UnresolvedMention">
    <w:name w:val="Unresolved Mention"/>
    <w:basedOn w:val="DefaultParagraphFont"/>
    <w:uiPriority w:val="99"/>
    <w:semiHidden/>
    <w:unhideWhenUsed/>
    <w:rsid w:val="00C57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68540">
      <w:bodyDiv w:val="1"/>
      <w:marLeft w:val="0"/>
      <w:marRight w:val="0"/>
      <w:marTop w:val="0"/>
      <w:marBottom w:val="0"/>
      <w:divBdr>
        <w:top w:val="none" w:sz="0" w:space="0" w:color="auto"/>
        <w:left w:val="none" w:sz="0" w:space="0" w:color="auto"/>
        <w:bottom w:val="none" w:sz="0" w:space="0" w:color="auto"/>
        <w:right w:val="none" w:sz="0" w:space="0" w:color="auto"/>
      </w:divBdr>
    </w:div>
    <w:div w:id="414129036">
      <w:bodyDiv w:val="1"/>
      <w:marLeft w:val="0"/>
      <w:marRight w:val="0"/>
      <w:marTop w:val="0"/>
      <w:marBottom w:val="0"/>
      <w:divBdr>
        <w:top w:val="none" w:sz="0" w:space="0" w:color="auto"/>
        <w:left w:val="none" w:sz="0" w:space="0" w:color="auto"/>
        <w:bottom w:val="none" w:sz="0" w:space="0" w:color="auto"/>
        <w:right w:val="none" w:sz="0" w:space="0" w:color="auto"/>
      </w:divBdr>
    </w:div>
    <w:div w:id="416631816">
      <w:bodyDiv w:val="1"/>
      <w:marLeft w:val="0"/>
      <w:marRight w:val="0"/>
      <w:marTop w:val="0"/>
      <w:marBottom w:val="0"/>
      <w:divBdr>
        <w:top w:val="none" w:sz="0" w:space="0" w:color="auto"/>
        <w:left w:val="none" w:sz="0" w:space="0" w:color="auto"/>
        <w:bottom w:val="none" w:sz="0" w:space="0" w:color="auto"/>
        <w:right w:val="none" w:sz="0" w:space="0" w:color="auto"/>
      </w:divBdr>
      <w:divsChild>
        <w:div w:id="41908773">
          <w:marLeft w:val="0"/>
          <w:marRight w:val="0"/>
          <w:marTop w:val="0"/>
          <w:marBottom w:val="0"/>
          <w:divBdr>
            <w:top w:val="none" w:sz="0" w:space="0" w:color="auto"/>
            <w:left w:val="none" w:sz="0" w:space="0" w:color="auto"/>
            <w:bottom w:val="none" w:sz="0" w:space="0" w:color="auto"/>
            <w:right w:val="none" w:sz="0" w:space="0" w:color="auto"/>
          </w:divBdr>
        </w:div>
      </w:divsChild>
    </w:div>
    <w:div w:id="1842701128">
      <w:bodyDiv w:val="1"/>
      <w:marLeft w:val="0"/>
      <w:marRight w:val="0"/>
      <w:marTop w:val="0"/>
      <w:marBottom w:val="0"/>
      <w:divBdr>
        <w:top w:val="none" w:sz="0" w:space="0" w:color="auto"/>
        <w:left w:val="none" w:sz="0" w:space="0" w:color="auto"/>
        <w:bottom w:val="none" w:sz="0" w:space="0" w:color="auto"/>
        <w:right w:val="none" w:sz="0" w:space="0" w:color="auto"/>
      </w:divBdr>
      <w:divsChild>
        <w:div w:id="201094865">
          <w:marLeft w:val="0"/>
          <w:marRight w:val="0"/>
          <w:marTop w:val="0"/>
          <w:marBottom w:val="0"/>
          <w:divBdr>
            <w:top w:val="none" w:sz="0" w:space="0" w:color="auto"/>
            <w:left w:val="none" w:sz="0" w:space="0" w:color="auto"/>
            <w:bottom w:val="none" w:sz="0" w:space="0" w:color="auto"/>
            <w:right w:val="none" w:sz="0" w:space="0" w:color="auto"/>
          </w:divBdr>
        </w:div>
      </w:divsChild>
    </w:div>
    <w:div w:id="1878272375">
      <w:bodyDiv w:val="1"/>
      <w:marLeft w:val="0"/>
      <w:marRight w:val="0"/>
      <w:marTop w:val="0"/>
      <w:marBottom w:val="0"/>
      <w:divBdr>
        <w:top w:val="none" w:sz="0" w:space="0" w:color="auto"/>
        <w:left w:val="none" w:sz="0" w:space="0" w:color="auto"/>
        <w:bottom w:val="none" w:sz="0" w:space="0" w:color="auto"/>
        <w:right w:val="none" w:sz="0" w:space="0" w:color="auto"/>
      </w:divBdr>
    </w:div>
    <w:div w:id="213189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Sanjeevi M</dc:creator>
  <cp:keywords/>
  <dc:description/>
  <cp:lastModifiedBy>Sanjeevi M</cp:lastModifiedBy>
  <cp:revision>2</cp:revision>
  <dcterms:created xsi:type="dcterms:W3CDTF">2024-12-25T06:32:00Z</dcterms:created>
  <dcterms:modified xsi:type="dcterms:W3CDTF">2024-12-25T06:55:00Z</dcterms:modified>
</cp:coreProperties>
</file>