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1F4D78"/>
          <w:sz w:val="56"/>
        </w:rPr>
        <w:t>MedSphere LMS</w:t>
      </w:r>
    </w:p>
    <w:p>
      <w:pPr>
        <w:spacing w:after="240"/>
      </w:pPr>
      <w:r>
        <w:rPr>
          <w:rFonts w:ascii="Calibri" w:hAnsi="Calibri"/>
          <w:color w:val="2E74B5"/>
          <w:sz w:val="30"/>
        </w:rPr>
        <w:t>Tech Expo Presentation Guide: Code-Assessed Aged Care Edition</w:t>
      </w:r>
    </w:p>
    <w:p>
      <w:pPr>
        <w:spacing w:after="280"/>
      </w:pPr>
      <w:r>
        <w:t>Prepared for: University tech expo | Audience: aged-care employers, training teams, technical reviewers, and industry visitors | Date: 3 June 2026</w:t>
      </w:r>
    </w:p>
    <w:tbl>
      <w:tblPr>
        <w:tblW w:type="dxa" w:w="9360"/>
        <w:jc w:val="left"/>
        <w:tblLayout w:type="fixed"/>
        <w:tblLook w:firstColumn="1" w:firstRow="1" w:lastColumn="0" w:lastRow="0" w:noHBand="0" w:noVBand="1" w:val="04A0"/>
        <w:tblInd w:w="120" w:type="dxa"/>
        <w:tblBorders>
          <w:top w:val="single" w:sz="4" w:space="0" w:color="B7D7C2"/>
          <w:left w:val="single" w:sz="4" w:space="0" w:color="B7D7C2"/>
          <w:bottom w:val="single" w:sz="4" w:space="0" w:color="B7D7C2"/>
          <w:right w:val="single" w:sz="4" w:space="0" w:color="B7D7C2"/>
          <w:insideH w:val="single" w:sz="4" w:space="0" w:color="B7D7C2"/>
          <w:insideV w:val="single" w:sz="4" w:space="0" w:color="B7D7C2"/>
        </w:tblBorders>
      </w:tblPr>
      <w:tblGrid>
        <w:gridCol w:w="9360"/>
      </w:tblGrid>
      <w:tr>
        <w:tc>
          <w:tcPr>
            <w:tcW w:type="dxa" w:w="9360"/>
            <w:tcMar>
              <w:top w:w="140" w:type="dxa"/>
              <w:bottom w:w="140" w:type="dxa"/>
              <w:start w:w="180" w:type="dxa"/>
              <w:end w:w="180" w:type="dxa"/>
            </w:tcMar>
            <w:vAlign w:val="center"/>
            <w:shd w:fill="EAF6F0"/>
          </w:tcPr>
          <w:p>
            <w:pPr>
              <w:spacing w:after="60"/>
            </w:pPr>
            <w:r>
              <w:rPr>
                <w:rFonts w:ascii="Calibri" w:hAnsi="Calibri"/>
                <w:b/>
                <w:color w:val="1F4D78"/>
                <w:sz w:val="22"/>
              </w:rPr>
              <w:t>Expo thesis</w:t>
            </w:r>
          </w:p>
          <w:p>
            <w:pPr>
              <w:spacing w:after="0"/>
            </w:pPr>
            <w:r>
              <w:rPr>
                <w:rFonts w:ascii="Calibri" w:hAnsi="Calibri"/>
                <w:sz w:val="21"/>
              </w:rPr>
              <w:t>MedSphere is an aged-care-focused LMS that connects training delivery with workforce visibility: courses, quizzes, certificates, scheduling, teams, communication, and analytics all live in one role-based platform.</w:t>
            </w:r>
          </w:p>
        </w:tc>
      </w:tr>
    </w:tbl>
    <w:p/>
    <w:p>
      <w:pPr>
        <w:pStyle w:val="Heading1"/>
      </w:pPr>
      <w:r>
        <w:t>1. One-Page Positioning</w:t>
      </w:r>
    </w:p>
    <w:p>
      <w:r>
        <w:t>MedSphere LMS is a full-stack learning platform tailored to Australian aged care. The strongest way to present it is not as a generic online course website, but as a workforce learning hub for care providers who need staff to complete training, prove competency, stay on schedule, and communicate with educators.</w:t>
      </w:r>
    </w:p>
    <w:tbl>
      <w:tblPr>
        <w:tblW w:type="dxa" w:w="9360"/>
        <w:jc w:val="left"/>
        <w:tblLayout w:type="fixed"/>
        <w:tblLook w:firstColumn="1" w:firstRow="1" w:lastColumn="0" w:lastRow="0" w:noHBand="0" w:noVBand="1" w:val="04A0"/>
        <w:tblInd w:w="120" w:type="dxa"/>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1800"/>
        <w:gridCol w:w="7560"/>
      </w:tblGrid>
      <w:tr>
        <w:tc>
          <w:tcPr>
            <w:tcW w:type="dxa" w:w="1800"/>
            <w:tcMar>
              <w:top w:w="80" w:type="dxa"/>
              <w:bottom w:w="80" w:type="dxa"/>
              <w:start w:w="120" w:type="dxa"/>
              <w:end w:w="120" w:type="dxa"/>
            </w:tcMar>
            <w:vAlign w:val="center"/>
            <w:shd w:fill="E8EEF5"/>
          </w:tcPr>
          <w:p>
            <w:pPr>
              <w:spacing w:after="0" w:line="276" w:lineRule="auto"/>
            </w:pPr>
            <w:r/>
            <w:r>
              <w:rPr>
                <w:rFonts w:ascii="Calibri" w:hAnsi="Calibri"/>
                <w:b/>
                <w:color w:val="1F4D78"/>
                <w:sz w:val="19"/>
              </w:rPr>
              <w:t>Question</w:t>
            </w:r>
          </w:p>
        </w:tc>
        <w:tc>
          <w:tcPr>
            <w:tcW w:type="dxa" w:w="7560"/>
            <w:tcMar>
              <w:top w:w="80" w:type="dxa"/>
              <w:bottom w:w="80" w:type="dxa"/>
              <w:start w:w="120" w:type="dxa"/>
              <w:end w:w="120" w:type="dxa"/>
            </w:tcMar>
            <w:vAlign w:val="center"/>
            <w:shd w:fill="E8EEF5"/>
          </w:tcPr>
          <w:p>
            <w:pPr>
              <w:spacing w:after="0" w:line="276" w:lineRule="auto"/>
            </w:pPr>
            <w:r/>
            <w:r>
              <w:rPr>
                <w:rFonts w:ascii="Calibri" w:hAnsi="Calibri"/>
                <w:b/>
                <w:color w:val="1F4D78"/>
                <w:sz w:val="19"/>
              </w:rPr>
              <w:t>Answer to give tomorrow</w:t>
            </w:r>
          </w:p>
        </w:tc>
      </w:tr>
      <w:tr>
        <w:tc>
          <w:tcPr>
            <w:tcW w:type="dxa" w:w="1800"/>
          </w:tcPr>
          <w:p>
            <w:pPr>
              <w:spacing w:after="0" w:line="276" w:lineRule="auto"/>
            </w:pPr>
            <w:r/>
            <w:r>
              <w:rPr>
                <w:rFonts w:ascii="Calibri" w:hAnsi="Calibri"/>
                <w:b w:val="0"/>
                <w:sz w:val="18"/>
              </w:rPr>
              <w:t>What is it?</w:t>
            </w:r>
          </w:p>
        </w:tc>
        <w:tc>
          <w:tcPr>
            <w:tcW w:type="dxa" w:w="7560"/>
          </w:tcPr>
          <w:p>
            <w:pPr>
              <w:spacing w:after="0" w:line="276" w:lineRule="auto"/>
            </w:pPr>
            <w:r/>
            <w:r>
              <w:rPr>
                <w:rFonts w:ascii="Calibri" w:hAnsi="Calibri"/>
                <w:b w:val="0"/>
                <w:sz w:val="18"/>
              </w:rPr>
              <w:t>A role-based LMS for aged-care education, with separate learner and admin portals.</w:t>
            </w:r>
          </w:p>
        </w:tc>
      </w:tr>
      <w:tr>
        <w:tc>
          <w:tcPr>
            <w:tcW w:type="dxa" w:w="1800"/>
          </w:tcPr>
          <w:p>
            <w:pPr>
              <w:spacing w:after="0" w:line="276" w:lineRule="auto"/>
            </w:pPr>
            <w:r/>
            <w:r>
              <w:rPr>
                <w:rFonts w:ascii="Calibri" w:hAnsi="Calibri"/>
                <w:b w:val="0"/>
                <w:sz w:val="18"/>
              </w:rPr>
              <w:t>Who is it for?</w:t>
            </w:r>
          </w:p>
        </w:tc>
        <w:tc>
          <w:tcPr>
            <w:tcW w:type="dxa" w:w="7560"/>
          </w:tcPr>
          <w:p>
            <w:pPr>
              <w:spacing w:after="0" w:line="276" w:lineRule="auto"/>
            </w:pPr>
            <w:r/>
            <w:r>
              <w:rPr>
                <w:rFonts w:ascii="Calibri" w:hAnsi="Calibri"/>
                <w:b w:val="0"/>
                <w:sz w:val="18"/>
              </w:rPr>
              <w:t>Aged-care providers, training coordinators, care workers, clinical educators, and organisations running internal compliance or professional development programs.</w:t>
            </w:r>
          </w:p>
        </w:tc>
      </w:tr>
      <w:tr>
        <w:tc>
          <w:tcPr>
            <w:tcW w:type="dxa" w:w="1800"/>
          </w:tcPr>
          <w:p>
            <w:pPr>
              <w:spacing w:after="0" w:line="276" w:lineRule="auto"/>
            </w:pPr>
            <w:r/>
            <w:r>
              <w:rPr>
                <w:rFonts w:ascii="Calibri" w:hAnsi="Calibri"/>
                <w:b w:val="0"/>
                <w:sz w:val="18"/>
              </w:rPr>
              <w:t>Why aged care?</w:t>
            </w:r>
          </w:p>
        </w:tc>
        <w:tc>
          <w:tcPr>
            <w:tcW w:type="dxa" w:w="7560"/>
          </w:tcPr>
          <w:p>
            <w:pPr>
              <w:spacing w:after="0" w:line="276" w:lineRule="auto"/>
            </w:pPr>
            <w:r/>
            <w:r>
              <w:rPr>
                <w:rFonts w:ascii="Calibri" w:hAnsi="Calibri"/>
                <w:b w:val="0"/>
                <w:sz w:val="18"/>
              </w:rPr>
              <w:t>Australian aged care is under stronger quality, workforce, and digital expectations. Providers need clearer evidence of training, skills, completion, and ongoing support.</w:t>
            </w:r>
          </w:p>
        </w:tc>
      </w:tr>
      <w:tr>
        <w:tc>
          <w:tcPr>
            <w:tcW w:type="dxa" w:w="1800"/>
          </w:tcPr>
          <w:p>
            <w:pPr>
              <w:spacing w:after="0" w:line="276" w:lineRule="auto"/>
            </w:pPr>
            <w:r/>
            <w:r>
              <w:rPr>
                <w:rFonts w:ascii="Calibri" w:hAnsi="Calibri"/>
                <w:b w:val="0"/>
                <w:sz w:val="18"/>
              </w:rPr>
              <w:t>What makes it stand out?</w:t>
            </w:r>
          </w:p>
        </w:tc>
        <w:tc>
          <w:tcPr>
            <w:tcW w:type="dxa" w:w="7560"/>
          </w:tcPr>
          <w:p>
            <w:pPr>
              <w:spacing w:after="0" w:line="276" w:lineRule="auto"/>
            </w:pPr>
            <w:r/>
            <w:r>
              <w:rPr>
                <w:rFonts w:ascii="Calibri" w:hAnsi="Calibri"/>
                <w:b w:val="0"/>
                <w:sz w:val="18"/>
              </w:rPr>
              <w:t>It goes beyond content delivery: it includes teams/groups, scheduling, reminders through upcoming tasks, quizzes, certificates, messages, community channels, and analytics.</w:t>
            </w:r>
          </w:p>
        </w:tc>
      </w:tr>
      <w:tr>
        <w:tc>
          <w:tcPr>
            <w:tcW w:type="dxa" w:w="1800"/>
          </w:tcPr>
          <w:p>
            <w:pPr>
              <w:spacing w:after="0" w:line="276" w:lineRule="auto"/>
            </w:pPr>
            <w:r/>
            <w:r>
              <w:rPr>
                <w:rFonts w:ascii="Calibri" w:hAnsi="Calibri"/>
                <w:b w:val="0"/>
                <w:sz w:val="18"/>
              </w:rPr>
              <w:t>Best demo route</w:t>
            </w:r>
          </w:p>
        </w:tc>
        <w:tc>
          <w:tcPr>
            <w:tcW w:type="dxa" w:w="7560"/>
          </w:tcPr>
          <w:p>
            <w:pPr>
              <w:spacing w:after="0" w:line="276" w:lineRule="auto"/>
            </w:pPr>
            <w:r/>
            <w:r>
              <w:rPr>
                <w:rFonts w:ascii="Calibri" w:hAnsi="Calibri"/>
                <w:b w:val="0"/>
                <w:sz w:val="18"/>
              </w:rPr>
              <w:t>Admin creates or manages a course, then a learner enrols, completes content/quizzes, sees progress, schedules learning, downloads certificates, and uses community/messages.</w:t>
            </w:r>
          </w:p>
        </w:tc>
      </w:tr>
    </w:tbl>
    <w:p/>
    <w:p>
      <w:pPr>
        <w:pStyle w:val="Heading1"/>
      </w:pPr>
      <w:r>
        <w:t>2. How This Guide Was Rewritten</w:t>
      </w:r>
    </w:p>
    <w:p>
      <w:r>
        <w:t>This version is based on a code assessment of the application, not only on previous discussion. The review covered the backend API, SQLAlchemy models, Pydantic schemas, storage/auth helpers, seed data, frontend routes, learner pages, admin pages, shared API client, certificate generation, search utilities, media URL handling, and setup documentation.</w:t>
      </w:r>
    </w:p>
    <w:p>
      <w:pPr>
        <w:pStyle w:val="ListBullet"/>
      </w:pPr>
      <w:r>
        <w:t>Backend evidence: backend/main.py, models.py, schemas.py, auth.py, database.py, storage.py, seed_marketing.py, requirements.txt.</w:t>
      </w:r>
    </w:p>
    <w:p>
      <w:pPr>
        <w:pStyle w:val="ListBullet"/>
      </w:pPr>
      <w:r>
        <w:t>Frontend evidence: src/app/App.tsx, routes.tsx, learner pages, admin pages, layouts, dashboard cards, certificates, settings, messages, community, schedules, and src/lib/api.ts.</w:t>
      </w:r>
    </w:p>
    <w:p>
      <w:pPr>
        <w:pStyle w:val="ListBullet"/>
      </w:pPr>
      <w:r>
        <w:t>Industry context checked against Australian Government and Aged Care Quality and Safety Commission guidance on strengthened Quality Standards, workforce obligations, learning, and aged-care digital reform.</w:t>
      </w:r>
    </w:p>
    <w:p>
      <w:pPr>
        <w:pStyle w:val="Heading1"/>
      </w:pPr>
      <w:r>
        <w:t>3. Actual Feature Map From the Code</w:t>
      </w:r>
    </w:p>
    <w:tbl>
      <w:tblPr>
        <w:tblW w:type="dxa" w:w="9360"/>
        <w:jc w:val="left"/>
        <w:tblLayout w:type="fixed"/>
        <w:tblLook w:firstColumn="1" w:firstRow="1" w:lastColumn="0" w:lastRow="0" w:noHBand="0" w:noVBand="1" w:val="04A0"/>
        <w:tblInd w:w="120" w:type="dxa"/>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1500"/>
        <w:gridCol w:w="4700"/>
        <w:gridCol w:w="3160"/>
      </w:tblGrid>
      <w:tr>
        <w:tc>
          <w:tcPr>
            <w:tcW w:type="dxa" w:w="1500"/>
            <w:tcMar>
              <w:top w:w="80" w:type="dxa"/>
              <w:bottom w:w="80" w:type="dxa"/>
              <w:start w:w="120" w:type="dxa"/>
              <w:end w:w="120" w:type="dxa"/>
            </w:tcMar>
            <w:vAlign w:val="center"/>
            <w:shd w:fill="E8EEF5"/>
          </w:tcPr>
          <w:p>
            <w:pPr>
              <w:spacing w:after="0" w:line="276" w:lineRule="auto"/>
            </w:pPr>
            <w:r/>
            <w:r>
              <w:rPr>
                <w:rFonts w:ascii="Calibri" w:hAnsi="Calibri"/>
                <w:b/>
                <w:color w:val="1F4D78"/>
                <w:sz w:val="19"/>
              </w:rPr>
              <w:t>Area</w:t>
            </w:r>
          </w:p>
        </w:tc>
        <w:tc>
          <w:tcPr>
            <w:tcW w:type="dxa" w:w="4700"/>
            <w:tcMar>
              <w:top w:w="80" w:type="dxa"/>
              <w:bottom w:w="80" w:type="dxa"/>
              <w:start w:w="120" w:type="dxa"/>
              <w:end w:w="120" w:type="dxa"/>
            </w:tcMar>
            <w:vAlign w:val="center"/>
            <w:shd w:fill="E8EEF5"/>
          </w:tcPr>
          <w:p>
            <w:pPr>
              <w:spacing w:after="0" w:line="276" w:lineRule="auto"/>
            </w:pPr>
            <w:r/>
            <w:r>
              <w:rPr>
                <w:rFonts w:ascii="Calibri" w:hAnsi="Calibri"/>
                <w:b/>
                <w:color w:val="1F4D78"/>
                <w:sz w:val="19"/>
              </w:rPr>
              <w:t>Implemented features</w:t>
            </w:r>
          </w:p>
        </w:tc>
        <w:tc>
          <w:tcPr>
            <w:tcW w:type="dxa" w:w="3160"/>
            <w:tcMar>
              <w:top w:w="80" w:type="dxa"/>
              <w:bottom w:w="80" w:type="dxa"/>
              <w:start w:w="120" w:type="dxa"/>
              <w:end w:w="120" w:type="dxa"/>
            </w:tcMar>
            <w:vAlign w:val="center"/>
            <w:shd w:fill="E8EEF5"/>
          </w:tcPr>
          <w:p>
            <w:pPr>
              <w:spacing w:after="0" w:line="276" w:lineRule="auto"/>
            </w:pPr>
            <w:r/>
            <w:r>
              <w:rPr>
                <w:rFonts w:ascii="Calibri" w:hAnsi="Calibri"/>
                <w:b/>
                <w:color w:val="1F4D78"/>
                <w:sz w:val="19"/>
              </w:rPr>
              <w:t>Why it matters in aged care</w:t>
            </w:r>
          </w:p>
        </w:tc>
      </w:tr>
      <w:tr>
        <w:tc>
          <w:tcPr>
            <w:tcW w:type="dxa" w:w="1500"/>
          </w:tcPr>
          <w:p>
            <w:pPr>
              <w:spacing w:after="0" w:line="276" w:lineRule="auto"/>
            </w:pPr>
            <w:r/>
            <w:r>
              <w:rPr>
                <w:rFonts w:ascii="Calibri" w:hAnsi="Calibri"/>
                <w:b w:val="0"/>
                <w:sz w:val="18"/>
              </w:rPr>
              <w:t>Public site</w:t>
            </w:r>
          </w:p>
        </w:tc>
        <w:tc>
          <w:tcPr>
            <w:tcW w:type="dxa" w:w="4700"/>
          </w:tcPr>
          <w:p>
            <w:pPr>
              <w:spacing w:after="0" w:line="276" w:lineRule="auto"/>
            </w:pPr>
            <w:r/>
            <w:r>
              <w:rPr>
                <w:rFonts w:ascii="Calibri" w:hAnsi="Calibri"/>
                <w:b w:val="0"/>
                <w:sz w:val="18"/>
              </w:rPr>
              <w:t>Home, About Us, responsive navbar, aged-care value messaging, login/signup navigation.</w:t>
            </w:r>
          </w:p>
        </w:tc>
        <w:tc>
          <w:tcPr>
            <w:tcW w:type="dxa" w:w="3160"/>
          </w:tcPr>
          <w:p>
            <w:pPr>
              <w:spacing w:after="0" w:line="276" w:lineRule="auto"/>
            </w:pPr>
            <w:r/>
            <w:r>
              <w:rPr>
                <w:rFonts w:ascii="Calibri" w:hAnsi="Calibri"/>
                <w:b w:val="0"/>
                <w:sz w:val="18"/>
              </w:rPr>
              <w:t>Lets visitors immediately understand the aged-care training purpose before logging in.</w:t>
            </w:r>
          </w:p>
        </w:tc>
      </w:tr>
      <w:tr>
        <w:tc>
          <w:tcPr>
            <w:tcW w:type="dxa" w:w="1500"/>
          </w:tcPr>
          <w:p>
            <w:pPr>
              <w:spacing w:after="0" w:line="276" w:lineRule="auto"/>
            </w:pPr>
            <w:r/>
            <w:r>
              <w:rPr>
                <w:rFonts w:ascii="Calibri" w:hAnsi="Calibri"/>
                <w:b w:val="0"/>
                <w:sz w:val="18"/>
              </w:rPr>
              <w:t>Authentication</w:t>
            </w:r>
          </w:p>
        </w:tc>
        <w:tc>
          <w:tcPr>
            <w:tcW w:type="dxa" w:w="4700"/>
          </w:tcPr>
          <w:p>
            <w:pPr>
              <w:spacing w:after="0" w:line="276" w:lineRule="auto"/>
            </w:pPr>
            <w:r/>
            <w:r>
              <w:rPr>
                <w:rFonts w:ascii="Calibri" w:hAnsi="Calibri"/>
                <w:b w:val="0"/>
                <w:sz w:val="18"/>
              </w:rPr>
              <w:t>Register/login, JWT bearer tokens, password hashing, current-user profile, role checks, admin guard.</w:t>
            </w:r>
          </w:p>
        </w:tc>
        <w:tc>
          <w:tcPr>
            <w:tcW w:type="dxa" w:w="3160"/>
          </w:tcPr>
          <w:p>
            <w:pPr>
              <w:spacing w:after="0" w:line="276" w:lineRule="auto"/>
            </w:pPr>
            <w:r/>
            <w:r>
              <w:rPr>
                <w:rFonts w:ascii="Calibri" w:hAnsi="Calibri"/>
                <w:b w:val="0"/>
                <w:sz w:val="18"/>
              </w:rPr>
              <w:t>Separates learner and admin responsibilities and protects operational pages.</w:t>
            </w:r>
          </w:p>
        </w:tc>
      </w:tr>
      <w:tr>
        <w:tc>
          <w:tcPr>
            <w:tcW w:type="dxa" w:w="1500"/>
          </w:tcPr>
          <w:p>
            <w:pPr>
              <w:spacing w:after="0" w:line="276" w:lineRule="auto"/>
            </w:pPr>
            <w:r/>
            <w:r>
              <w:rPr>
                <w:rFonts w:ascii="Calibri" w:hAnsi="Calibri"/>
                <w:b w:val="0"/>
                <w:sz w:val="18"/>
              </w:rPr>
              <w:t>Learner dashboard</w:t>
            </w:r>
          </w:p>
        </w:tc>
        <w:tc>
          <w:tcPr>
            <w:tcW w:type="dxa" w:w="4700"/>
          </w:tcPr>
          <w:p>
            <w:pPr>
              <w:spacing w:after="0" w:line="276" w:lineRule="auto"/>
            </w:pPr>
            <w:r/>
            <w:r>
              <w:rPr>
                <w:rFonts w:ascii="Calibri" w:hAnsi="Calibri"/>
                <w:b w:val="0"/>
                <w:sz w:val="18"/>
              </w:rPr>
              <w:t>Analytics cards, quick actions, course progress, recent activity, upcoming task cards.</w:t>
            </w:r>
          </w:p>
        </w:tc>
        <w:tc>
          <w:tcPr>
            <w:tcW w:type="dxa" w:w="3160"/>
          </w:tcPr>
          <w:p>
            <w:pPr>
              <w:spacing w:after="0" w:line="276" w:lineRule="auto"/>
            </w:pPr>
            <w:r/>
            <w:r>
              <w:rPr>
                <w:rFonts w:ascii="Calibri" w:hAnsi="Calibri"/>
                <w:b w:val="0"/>
                <w:sz w:val="18"/>
              </w:rPr>
              <w:t>Gives workers a mobile-friendly view of what they need to complete next.</w:t>
            </w:r>
          </w:p>
        </w:tc>
      </w:tr>
      <w:tr>
        <w:tc>
          <w:tcPr>
            <w:tcW w:type="dxa" w:w="1500"/>
          </w:tcPr>
          <w:p>
            <w:pPr>
              <w:spacing w:after="0" w:line="276" w:lineRule="auto"/>
            </w:pPr>
            <w:r/>
            <w:r>
              <w:rPr>
                <w:rFonts w:ascii="Calibri" w:hAnsi="Calibri"/>
                <w:b w:val="0"/>
                <w:sz w:val="18"/>
              </w:rPr>
              <w:t>Course browsing</w:t>
            </w:r>
          </w:p>
        </w:tc>
        <w:tc>
          <w:tcPr>
            <w:tcW w:type="dxa" w:w="4700"/>
          </w:tcPr>
          <w:p>
            <w:pPr>
              <w:spacing w:after="0" w:line="276" w:lineRule="auto"/>
            </w:pPr>
            <w:r/>
            <w:r>
              <w:rPr>
                <w:rFonts w:ascii="Calibri" w:hAnsi="Calibri"/>
                <w:b w:val="0"/>
                <w:sz w:val="18"/>
              </w:rPr>
              <w:t>Published courses, search/filter, free/paid state, duration, rating, enrolled count, enrol/buy actions.</w:t>
            </w:r>
          </w:p>
        </w:tc>
        <w:tc>
          <w:tcPr>
            <w:tcW w:type="dxa" w:w="3160"/>
          </w:tcPr>
          <w:p>
            <w:pPr>
              <w:spacing w:after="0" w:line="276" w:lineRule="auto"/>
            </w:pPr>
            <w:r/>
            <w:r>
              <w:rPr>
                <w:rFonts w:ascii="Calibri" w:hAnsi="Calibri"/>
                <w:b w:val="0"/>
                <w:sz w:val="18"/>
              </w:rPr>
              <w:t>Supports mandatory free training and paid CPD-style professional development.</w:t>
            </w:r>
          </w:p>
        </w:tc>
      </w:tr>
      <w:tr>
        <w:tc>
          <w:tcPr>
            <w:tcW w:type="dxa" w:w="1500"/>
          </w:tcPr>
          <w:p>
            <w:pPr>
              <w:spacing w:after="0" w:line="276" w:lineRule="auto"/>
            </w:pPr>
            <w:r/>
            <w:r>
              <w:rPr>
                <w:rFonts w:ascii="Calibri" w:hAnsi="Calibri"/>
                <w:b w:val="0"/>
                <w:sz w:val="18"/>
              </w:rPr>
              <w:t>Course learning</w:t>
            </w:r>
          </w:p>
        </w:tc>
        <w:tc>
          <w:tcPr>
            <w:tcW w:type="dxa" w:w="4700"/>
          </w:tcPr>
          <w:p>
            <w:pPr>
              <w:spacing w:after="0" w:line="276" w:lineRule="auto"/>
            </w:pPr>
            <w:r/>
            <w:r>
              <w:rPr>
                <w:rFonts w:ascii="Calibri" w:hAnsi="Calibri"/>
                <w:b w:val="0"/>
                <w:sz w:val="18"/>
              </w:rPr>
              <w:t>Video/PDF content, custom upload titles, content completion, quizzes, quiz attempts, progress recalculation.</w:t>
            </w:r>
          </w:p>
        </w:tc>
        <w:tc>
          <w:tcPr>
            <w:tcW w:type="dxa" w:w="3160"/>
          </w:tcPr>
          <w:p>
            <w:pPr>
              <w:spacing w:after="0" w:line="276" w:lineRule="auto"/>
            </w:pPr>
            <w:r/>
            <w:r>
              <w:rPr>
                <w:rFonts w:ascii="Calibri" w:hAnsi="Calibri"/>
                <w:b w:val="0"/>
                <w:sz w:val="18"/>
              </w:rPr>
              <w:t>Moves from passive viewing to measurable learning evidence.</w:t>
            </w:r>
          </w:p>
        </w:tc>
      </w:tr>
      <w:tr>
        <w:tc>
          <w:tcPr>
            <w:tcW w:type="dxa" w:w="1500"/>
          </w:tcPr>
          <w:p>
            <w:pPr>
              <w:spacing w:after="0" w:line="276" w:lineRule="auto"/>
            </w:pPr>
            <w:r/>
            <w:r>
              <w:rPr>
                <w:rFonts w:ascii="Calibri" w:hAnsi="Calibri"/>
                <w:b w:val="0"/>
                <w:sz w:val="18"/>
              </w:rPr>
              <w:t>Scheduling</w:t>
            </w:r>
          </w:p>
        </w:tc>
        <w:tc>
          <w:tcPr>
            <w:tcW w:type="dxa" w:w="4700"/>
          </w:tcPr>
          <w:p>
            <w:pPr>
              <w:spacing w:after="0" w:line="276" w:lineRule="auto"/>
            </w:pPr>
            <w:r/>
            <w:r>
              <w:rPr>
                <w:rFonts w:ascii="Calibri" w:hAnsi="Calibri"/>
                <w:b w:val="0"/>
                <w:sz w:val="18"/>
              </w:rPr>
              <w:t>Learners create events; admins assign schedules; enrolment can create course completion tasks.</w:t>
            </w:r>
          </w:p>
        </w:tc>
        <w:tc>
          <w:tcPr>
            <w:tcW w:type="dxa" w:w="3160"/>
          </w:tcPr>
          <w:p>
            <w:pPr>
              <w:spacing w:after="0" w:line="276" w:lineRule="auto"/>
            </w:pPr>
            <w:r/>
            <w:r>
              <w:rPr>
                <w:rFonts w:ascii="Calibri" w:hAnsi="Calibri"/>
                <w:b w:val="0"/>
                <w:sz w:val="18"/>
              </w:rPr>
              <w:t>Useful for shift-based staff who need learning around rosters and deadlines.</w:t>
            </w:r>
          </w:p>
        </w:tc>
      </w:tr>
      <w:tr>
        <w:tc>
          <w:tcPr>
            <w:tcW w:type="dxa" w:w="1500"/>
          </w:tcPr>
          <w:p>
            <w:pPr>
              <w:spacing w:after="0" w:line="276" w:lineRule="auto"/>
            </w:pPr>
            <w:r/>
            <w:r>
              <w:rPr>
                <w:rFonts w:ascii="Calibri" w:hAnsi="Calibri"/>
                <w:b w:val="0"/>
                <w:sz w:val="18"/>
              </w:rPr>
              <w:t>Certificates</w:t>
            </w:r>
          </w:p>
        </w:tc>
        <w:tc>
          <w:tcPr>
            <w:tcW w:type="dxa" w:w="4700"/>
          </w:tcPr>
          <w:p>
            <w:pPr>
              <w:spacing w:after="0" w:line="276" w:lineRule="auto"/>
            </w:pPr>
            <w:r/>
            <w:r>
              <w:rPr>
                <w:rFonts w:ascii="Calibri" w:hAnsi="Calibri"/>
                <w:b w:val="0"/>
                <w:sz w:val="18"/>
              </w:rPr>
              <w:t>Admin issue/revoke, learner view/download, PDF generation using html2canvas and jsPDF.</w:t>
            </w:r>
          </w:p>
        </w:tc>
        <w:tc>
          <w:tcPr>
            <w:tcW w:type="dxa" w:w="3160"/>
          </w:tcPr>
          <w:p>
            <w:pPr>
              <w:spacing w:after="0" w:line="276" w:lineRule="auto"/>
            </w:pPr>
            <w:r/>
            <w:r>
              <w:rPr>
                <w:rFonts w:ascii="Calibri" w:hAnsi="Calibri"/>
                <w:b w:val="0"/>
                <w:sz w:val="18"/>
              </w:rPr>
              <w:t>Provides evidence of completion for audits, onboarding, and internal records.</w:t>
            </w:r>
          </w:p>
        </w:tc>
      </w:tr>
      <w:tr>
        <w:tc>
          <w:tcPr>
            <w:tcW w:type="dxa" w:w="1500"/>
          </w:tcPr>
          <w:p>
            <w:pPr>
              <w:spacing w:after="0" w:line="276" w:lineRule="auto"/>
            </w:pPr>
            <w:r/>
            <w:r>
              <w:rPr>
                <w:rFonts w:ascii="Calibri" w:hAnsi="Calibri"/>
                <w:b w:val="0"/>
                <w:sz w:val="18"/>
              </w:rPr>
              <w:t>Community</w:t>
            </w:r>
          </w:p>
        </w:tc>
        <w:tc>
          <w:tcPr>
            <w:tcW w:type="dxa" w:w="4700"/>
          </w:tcPr>
          <w:p>
            <w:pPr>
              <w:spacing w:after="0" w:line="276" w:lineRule="auto"/>
            </w:pPr>
            <w:r/>
            <w:r>
              <w:rPr>
                <w:rFonts w:ascii="Calibri" w:hAnsi="Calibri"/>
                <w:b w:val="0"/>
                <w:sz w:val="18"/>
              </w:rPr>
              <w:t>Public/private channels, channel messages, membership control, notifications to channel members.</w:t>
            </w:r>
          </w:p>
        </w:tc>
        <w:tc>
          <w:tcPr>
            <w:tcW w:type="dxa" w:w="3160"/>
          </w:tcPr>
          <w:p>
            <w:pPr>
              <w:spacing w:after="0" w:line="276" w:lineRule="auto"/>
            </w:pPr>
            <w:r/>
            <w:r>
              <w:rPr>
                <w:rFonts w:ascii="Calibri" w:hAnsi="Calibri"/>
                <w:b w:val="0"/>
                <w:sz w:val="18"/>
              </w:rPr>
              <w:t>Supports educator announcements, clinical updates, cohort discussion, and learner support.</w:t>
            </w:r>
          </w:p>
        </w:tc>
      </w:tr>
      <w:tr>
        <w:tc>
          <w:tcPr>
            <w:tcW w:type="dxa" w:w="1500"/>
          </w:tcPr>
          <w:p>
            <w:pPr>
              <w:spacing w:after="0" w:line="276" w:lineRule="auto"/>
            </w:pPr>
            <w:r/>
            <w:r>
              <w:rPr>
                <w:rFonts w:ascii="Calibri" w:hAnsi="Calibri"/>
                <w:b w:val="0"/>
                <w:sz w:val="18"/>
              </w:rPr>
              <w:t>Direct messages</w:t>
            </w:r>
          </w:p>
        </w:tc>
        <w:tc>
          <w:tcPr>
            <w:tcW w:type="dxa" w:w="4700"/>
          </w:tcPr>
          <w:p>
            <w:pPr>
              <w:spacing w:after="0" w:line="276" w:lineRule="auto"/>
            </w:pPr>
            <w:r/>
            <w:r>
              <w:rPr>
                <w:rFonts w:ascii="Calibri" w:hAnsi="Calibri"/>
                <w:b w:val="0"/>
                <w:sz w:val="18"/>
              </w:rPr>
              <w:t>User conversations, admin-to-learner and learner-to-admin messaging, unread tracking.</w:t>
            </w:r>
          </w:p>
        </w:tc>
        <w:tc>
          <w:tcPr>
            <w:tcW w:type="dxa" w:w="3160"/>
          </w:tcPr>
          <w:p>
            <w:pPr>
              <w:spacing w:after="0" w:line="276" w:lineRule="auto"/>
            </w:pPr>
            <w:r/>
            <w:r>
              <w:rPr>
                <w:rFonts w:ascii="Calibri" w:hAnsi="Calibri"/>
                <w:b w:val="0"/>
                <w:sz w:val="18"/>
              </w:rPr>
              <w:t>Allows private help without leaving the LMS.</w:t>
            </w:r>
          </w:p>
        </w:tc>
      </w:tr>
      <w:tr>
        <w:tc>
          <w:tcPr>
            <w:tcW w:type="dxa" w:w="1500"/>
          </w:tcPr>
          <w:p>
            <w:pPr>
              <w:spacing w:after="0" w:line="276" w:lineRule="auto"/>
            </w:pPr>
            <w:r/>
            <w:r>
              <w:rPr>
                <w:rFonts w:ascii="Calibri" w:hAnsi="Calibri"/>
                <w:b w:val="0"/>
                <w:sz w:val="18"/>
              </w:rPr>
              <w:t>Admin operations</w:t>
            </w:r>
          </w:p>
        </w:tc>
        <w:tc>
          <w:tcPr>
            <w:tcW w:type="dxa" w:w="4700"/>
          </w:tcPr>
          <w:p>
            <w:pPr>
              <w:spacing w:after="0" w:line="276" w:lineRule="auto"/>
            </w:pPr>
            <w:r/>
            <w:r>
              <w:rPr>
                <w:rFonts w:ascii="Calibri" w:hAnsi="Calibri"/>
                <w:b w:val="0"/>
                <w:sz w:val="18"/>
              </w:rPr>
              <w:t>Users, groups, teams, roles, course status, schedules, certificates, analytics, settings.</w:t>
            </w:r>
          </w:p>
        </w:tc>
        <w:tc>
          <w:tcPr>
            <w:tcW w:type="dxa" w:w="3160"/>
          </w:tcPr>
          <w:p>
            <w:pPr>
              <w:spacing w:after="0" w:line="276" w:lineRule="auto"/>
            </w:pPr>
            <w:r/>
            <w:r>
              <w:rPr>
                <w:rFonts w:ascii="Calibri" w:hAnsi="Calibri"/>
                <w:b w:val="0"/>
                <w:sz w:val="18"/>
              </w:rPr>
              <w:t>Maps learning management to facility, location, team, and compliance workflows.</w:t>
            </w:r>
          </w:p>
        </w:tc>
      </w:tr>
      <w:tr>
        <w:tc>
          <w:tcPr>
            <w:tcW w:type="dxa" w:w="1500"/>
          </w:tcPr>
          <w:p>
            <w:pPr>
              <w:spacing w:after="0" w:line="276" w:lineRule="auto"/>
            </w:pPr>
            <w:r/>
            <w:r>
              <w:rPr>
                <w:rFonts w:ascii="Calibri" w:hAnsi="Calibri"/>
                <w:b w:val="0"/>
                <w:sz w:val="18"/>
              </w:rPr>
              <w:t>Analytics</w:t>
            </w:r>
          </w:p>
        </w:tc>
        <w:tc>
          <w:tcPr>
            <w:tcW w:type="dxa" w:w="4700"/>
          </w:tcPr>
          <w:p>
            <w:pPr>
              <w:spacing w:after="0" w:line="276" w:lineRule="auto"/>
            </w:pPr>
            <w:r/>
            <w:r>
              <w:rPr>
                <w:rFonts w:ascii="Calibri" w:hAnsi="Calibri"/>
                <w:b w:val="0"/>
                <w:sz w:val="18"/>
              </w:rPr>
              <w:t>User counts, active learners, completion rate, quiz score averages, trends, popular courses, recent completions.</w:t>
            </w:r>
          </w:p>
        </w:tc>
        <w:tc>
          <w:tcPr>
            <w:tcW w:type="dxa" w:w="3160"/>
          </w:tcPr>
          <w:p>
            <w:pPr>
              <w:spacing w:after="0" w:line="276" w:lineRule="auto"/>
            </w:pPr>
            <w:r/>
            <w:r>
              <w:rPr>
                <w:rFonts w:ascii="Calibri" w:hAnsi="Calibri"/>
                <w:b w:val="0"/>
                <w:sz w:val="18"/>
              </w:rPr>
              <w:t>Helps coordinators monitor uptake and identify training gaps.</w:t>
            </w:r>
          </w:p>
        </w:tc>
      </w:tr>
    </w:tbl>
    <w:p/>
    <w:p>
      <w:pPr>
        <w:pStyle w:val="Heading1"/>
      </w:pPr>
      <w:r>
        <w:t>4. Standout Features for Australian Aged Care</w:t>
      </w:r>
    </w:p>
    <w:p>
      <w:pPr>
        <w:pStyle w:val="Heading2"/>
      </w:pPr>
      <w:r>
        <w:t>Training evidence, not just course access</w:t>
      </w:r>
    </w:p>
    <w:p>
      <w:r>
        <w:t>The app tracks learning through both content completion and quiz attempts. Course progress is calculated from videos/PDFs plus quizzes, and certificates can be issued and downloaded. This is stronger than simply saying a learner opened a lesson.</w:t>
      </w:r>
    </w:p>
    <w:p>
      <w:pPr>
        <w:pStyle w:val="Heading2"/>
      </w:pPr>
      <w:r>
        <w:t>Scheduling built into the learner workflow</w:t>
      </w:r>
    </w:p>
    <w:p>
      <w:r>
        <w:t>The learner schedule page is a major differentiator. Workers can add learning events with type, date, time, location, and description, while admins can assign scheduled events. Enrolled courses also surface upcoming tasks. For aged care, where staff often work shifts and training competes with care duties, this is an important workflow.</w:t>
      </w:r>
    </w:p>
    <w:p>
      <w:pPr>
        <w:pStyle w:val="Heading2"/>
      </w:pPr>
      <w:r>
        <w:t>Groups, teams, and locations</w:t>
      </w:r>
    </w:p>
    <w:p>
      <w:r>
        <w:t>The backend and admin portal include groups, teams, team admins, locations, members, and team course activity. This fits aged-care structures such as residential facilities, wards, regional sites, home-care services, or clinical education teams.</w:t>
      </w:r>
    </w:p>
    <w:p>
      <w:pPr>
        <w:pStyle w:val="Heading2"/>
      </w:pPr>
      <w:r>
        <w:t>Communication layer</w:t>
      </w:r>
    </w:p>
    <w:p>
      <w:r>
        <w:t>Community channels and direct messages are implemented, not just designed. This matters because aged-care training often depends on practical questions, policy updates, educator support, and discussion of real scenarios.</w:t>
      </w:r>
    </w:p>
    <w:p>
      <w:pPr>
        <w:pStyle w:val="Heading2"/>
      </w:pPr>
      <w:r>
        <w:t>Admin visibility</w:t>
      </w:r>
    </w:p>
    <w:p>
      <w:r>
        <w:t>The admin dashboard and analytics page provide operational visibility: users, completions, enrolment trends, quiz performance, course popularity, recent activity, and recent completions. That creates a stronger story for managers than a learner-only product.</w:t>
      </w:r>
    </w:p>
    <w:p>
      <w:pPr>
        <w:pStyle w:val="Heading2"/>
      </w:pPr>
      <w:r>
        <w:t>Aged-care-specific demo content</w:t>
      </w:r>
    </w:p>
    <w:p>
      <w:r>
        <w:t>The marketing seed data includes aged-care courses such as Person-Centred Care Essentials, Medication Management in Aged Care, Dementia Support and Communication, Infection Prevention and Control, Palliative and End-of-Life Care, WHS and Manual Handling, Nutrition and Hydration, and Cultural Safety and Diversity.</w:t>
      </w:r>
    </w:p>
    <w:p>
      <w:pPr>
        <w:pStyle w:val="Heading1"/>
      </w:pPr>
      <w:r>
        <w:t>5. Industry Context: Why This Story Works</w:t>
      </w:r>
    </w:p>
    <w:p>
      <w:r>
        <w:t>The Aged Care Quality and Safety Commission describes the strengthened Quality Standards as requirements for safe, quality care that meets needs and preferences and upholds rights. Current guidance also places emphasis on workforce obligations, training, supervision, appropriate skills, and measurable quality. The Department of Health, Disability and Ageing also describes aged-care digital reform as moving toward better-connected and more digitally enabled systems.</w:t>
      </w:r>
    </w:p>
    <w:tbl>
      <w:tblPr>
        <w:tblW w:type="dxa" w:w="9360"/>
        <w:jc w:val="left"/>
        <w:tblLayout w:type="fixed"/>
        <w:tblLook w:firstColumn="1" w:firstRow="1" w:lastColumn="0" w:lastRow="0" w:noHBand="0" w:noVBand="1" w:val="04A0"/>
        <w:tblInd w:w="120" w:type="dxa"/>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2500"/>
        <w:gridCol w:w="6860"/>
      </w:tblGrid>
      <w:tr>
        <w:tc>
          <w:tcPr>
            <w:tcW w:type="dxa" w:w="2500"/>
            <w:tcMar>
              <w:top w:w="80" w:type="dxa"/>
              <w:bottom w:w="80" w:type="dxa"/>
              <w:start w:w="120" w:type="dxa"/>
              <w:end w:w="120" w:type="dxa"/>
            </w:tcMar>
            <w:vAlign w:val="center"/>
            <w:shd w:fill="E8EEF5"/>
          </w:tcPr>
          <w:p>
            <w:pPr>
              <w:spacing w:after="0" w:line="276" w:lineRule="auto"/>
            </w:pPr>
            <w:r/>
            <w:r>
              <w:rPr>
                <w:rFonts w:ascii="Calibri" w:hAnsi="Calibri"/>
                <w:b/>
                <w:color w:val="1F4D78"/>
                <w:sz w:val="19"/>
              </w:rPr>
              <w:t>Industry need</w:t>
            </w:r>
          </w:p>
        </w:tc>
        <w:tc>
          <w:tcPr>
            <w:tcW w:type="dxa" w:w="6860"/>
            <w:tcMar>
              <w:top w:w="80" w:type="dxa"/>
              <w:bottom w:w="80" w:type="dxa"/>
              <w:start w:w="120" w:type="dxa"/>
              <w:end w:w="120" w:type="dxa"/>
            </w:tcMar>
            <w:vAlign w:val="center"/>
            <w:shd w:fill="E8EEF5"/>
          </w:tcPr>
          <w:p>
            <w:pPr>
              <w:spacing w:after="0" w:line="276" w:lineRule="auto"/>
            </w:pPr>
            <w:r/>
            <w:r>
              <w:rPr>
                <w:rFonts w:ascii="Calibri" w:hAnsi="Calibri"/>
                <w:b/>
                <w:color w:val="1F4D78"/>
                <w:sz w:val="19"/>
              </w:rPr>
              <w:t>How MedSphere supports the story</w:t>
            </w:r>
          </w:p>
        </w:tc>
      </w:tr>
      <w:tr>
        <w:tc>
          <w:tcPr>
            <w:tcW w:type="dxa" w:w="2500"/>
          </w:tcPr>
          <w:p>
            <w:pPr>
              <w:spacing w:after="0" w:line="276" w:lineRule="auto"/>
            </w:pPr>
            <w:r/>
            <w:r>
              <w:rPr>
                <w:rFonts w:ascii="Calibri" w:hAnsi="Calibri"/>
                <w:b w:val="0"/>
                <w:sz w:val="18"/>
              </w:rPr>
              <w:t>Rights-based, person-centred care</w:t>
            </w:r>
          </w:p>
        </w:tc>
        <w:tc>
          <w:tcPr>
            <w:tcW w:type="dxa" w:w="6860"/>
          </w:tcPr>
          <w:p>
            <w:pPr>
              <w:spacing w:after="0" w:line="276" w:lineRule="auto"/>
            </w:pPr>
            <w:r/>
            <w:r>
              <w:rPr>
                <w:rFonts w:ascii="Calibri" w:hAnsi="Calibri"/>
                <w:b w:val="0"/>
                <w:sz w:val="18"/>
              </w:rPr>
              <w:t>Aged-care course catalogue and course categories can deliver targeted training around person-centred practice, dementia support, cultural safety, nutrition, and end-of-life care.</w:t>
            </w:r>
          </w:p>
        </w:tc>
      </w:tr>
      <w:tr>
        <w:tc>
          <w:tcPr>
            <w:tcW w:type="dxa" w:w="2500"/>
          </w:tcPr>
          <w:p>
            <w:pPr>
              <w:spacing w:after="0" w:line="276" w:lineRule="auto"/>
            </w:pPr>
            <w:r/>
            <w:r>
              <w:rPr>
                <w:rFonts w:ascii="Calibri" w:hAnsi="Calibri"/>
                <w:b w:val="0"/>
                <w:sz w:val="18"/>
              </w:rPr>
              <w:t>Skilled and supervised workforce</w:t>
            </w:r>
          </w:p>
        </w:tc>
        <w:tc>
          <w:tcPr>
            <w:tcW w:type="dxa" w:w="6860"/>
          </w:tcPr>
          <w:p>
            <w:pPr>
              <w:spacing w:after="0" w:line="276" w:lineRule="auto"/>
            </w:pPr>
            <w:r/>
            <w:r>
              <w:rPr>
                <w:rFonts w:ascii="Calibri" w:hAnsi="Calibri"/>
                <w:b w:val="0"/>
                <w:sz w:val="18"/>
              </w:rPr>
              <w:t>Admins can create courses, assign training, monitor completion, view quiz scores, and issue certificates.</w:t>
            </w:r>
          </w:p>
        </w:tc>
      </w:tr>
      <w:tr>
        <w:tc>
          <w:tcPr>
            <w:tcW w:type="dxa" w:w="2500"/>
          </w:tcPr>
          <w:p>
            <w:pPr>
              <w:spacing w:after="0" w:line="276" w:lineRule="auto"/>
            </w:pPr>
            <w:r/>
            <w:r>
              <w:rPr>
                <w:rFonts w:ascii="Calibri" w:hAnsi="Calibri"/>
                <w:b w:val="0"/>
                <w:sz w:val="18"/>
              </w:rPr>
              <w:t>Workforce planning and visibility</w:t>
            </w:r>
          </w:p>
        </w:tc>
        <w:tc>
          <w:tcPr>
            <w:tcW w:type="dxa" w:w="6860"/>
          </w:tcPr>
          <w:p>
            <w:pPr>
              <w:spacing w:after="0" w:line="276" w:lineRule="auto"/>
            </w:pPr>
            <w:r/>
            <w:r>
              <w:rPr>
                <w:rFonts w:ascii="Calibri" w:hAnsi="Calibri"/>
                <w:b w:val="0"/>
                <w:sz w:val="18"/>
              </w:rPr>
              <w:t>Teams, groups, users, roles, and analytics help managers understand learning status across facilities or cohorts.</w:t>
            </w:r>
          </w:p>
        </w:tc>
      </w:tr>
      <w:tr>
        <w:tc>
          <w:tcPr>
            <w:tcW w:type="dxa" w:w="2500"/>
          </w:tcPr>
          <w:p>
            <w:pPr>
              <w:spacing w:after="0" w:line="276" w:lineRule="auto"/>
            </w:pPr>
            <w:r/>
            <w:r>
              <w:rPr>
                <w:rFonts w:ascii="Calibri" w:hAnsi="Calibri"/>
                <w:b w:val="0"/>
                <w:sz w:val="18"/>
              </w:rPr>
              <w:t>Digital transformation</w:t>
            </w:r>
          </w:p>
        </w:tc>
        <w:tc>
          <w:tcPr>
            <w:tcW w:type="dxa" w:w="6860"/>
          </w:tcPr>
          <w:p>
            <w:pPr>
              <w:spacing w:after="0" w:line="276" w:lineRule="auto"/>
            </w:pPr>
            <w:r/>
            <w:r>
              <w:rPr>
                <w:rFonts w:ascii="Calibri" w:hAnsi="Calibri"/>
                <w:b w:val="0"/>
                <w:sz w:val="18"/>
              </w:rPr>
              <w:t>The app combines portal access, media content, scheduling, messaging, notifications, and data dashboards in a single web platform.</w:t>
            </w:r>
          </w:p>
        </w:tc>
      </w:tr>
      <w:tr>
        <w:tc>
          <w:tcPr>
            <w:tcW w:type="dxa" w:w="2500"/>
          </w:tcPr>
          <w:p>
            <w:pPr>
              <w:spacing w:after="0" w:line="276" w:lineRule="auto"/>
            </w:pPr>
            <w:r/>
            <w:r>
              <w:rPr>
                <w:rFonts w:ascii="Calibri" w:hAnsi="Calibri"/>
                <w:b w:val="0"/>
                <w:sz w:val="18"/>
              </w:rPr>
              <w:t>Audit-ready evidence</w:t>
            </w:r>
          </w:p>
        </w:tc>
        <w:tc>
          <w:tcPr>
            <w:tcW w:type="dxa" w:w="6860"/>
          </w:tcPr>
          <w:p>
            <w:pPr>
              <w:spacing w:after="0" w:line="276" w:lineRule="auto"/>
            </w:pPr>
            <w:r/>
            <w:r>
              <w:rPr>
                <w:rFonts w:ascii="Calibri" w:hAnsi="Calibri"/>
                <w:b w:val="0"/>
                <w:sz w:val="18"/>
              </w:rPr>
              <w:t>Certificates, progress records, enrolments, quiz attempts, and completion dates create a trail that can support internal compliance conversations.</w:t>
            </w:r>
          </w:p>
        </w:tc>
      </w:tr>
    </w:tbl>
    <w:p/>
    <w:tbl>
      <w:tblPr>
        <w:tblW w:type="dxa" w:w="9360"/>
        <w:jc w:val="left"/>
        <w:tblLayout w:type="fixed"/>
        <w:tblLook w:firstColumn="1" w:firstRow="1" w:lastColumn="0" w:lastRow="0" w:noHBand="0" w:noVBand="1" w:val="04A0"/>
        <w:tblInd w:w="120" w:type="dxa"/>
        <w:tblBorders>
          <w:top w:val="single" w:sz="4" w:space="0" w:color="B7D7C2"/>
          <w:left w:val="single" w:sz="4" w:space="0" w:color="B7D7C2"/>
          <w:bottom w:val="single" w:sz="4" w:space="0" w:color="B7D7C2"/>
          <w:right w:val="single" w:sz="4" w:space="0" w:color="B7D7C2"/>
          <w:insideH w:val="single" w:sz="4" w:space="0" w:color="B7D7C2"/>
          <w:insideV w:val="single" w:sz="4" w:space="0" w:color="B7D7C2"/>
        </w:tblBorders>
      </w:tblPr>
      <w:tblGrid>
        <w:gridCol w:w="9360"/>
      </w:tblGrid>
      <w:tr>
        <w:tc>
          <w:tcPr>
            <w:tcW w:type="dxa" w:w="9360"/>
            <w:tcMar>
              <w:top w:w="140" w:type="dxa"/>
              <w:bottom w:w="140" w:type="dxa"/>
              <w:start w:w="180" w:type="dxa"/>
              <w:end w:w="180" w:type="dxa"/>
            </w:tcMar>
            <w:vAlign w:val="center"/>
            <w:shd w:fill="FFF4DE"/>
          </w:tcPr>
          <w:p>
            <w:pPr>
              <w:spacing w:after="60"/>
            </w:pPr>
            <w:r>
              <w:rPr>
                <w:rFonts w:ascii="Calibri" w:hAnsi="Calibri"/>
                <w:b/>
                <w:color w:val="1F4D78"/>
                <w:sz w:val="22"/>
              </w:rPr>
              <w:t>Careful wording</w:t>
            </w:r>
          </w:p>
          <w:p>
            <w:pPr>
              <w:spacing w:after="0"/>
            </w:pPr>
            <w:r>
              <w:rPr>
                <w:rFonts w:ascii="Calibri" w:hAnsi="Calibri"/>
                <w:sz w:val="21"/>
              </w:rPr>
              <w:t>Do not claim the product is formally accredited, government-approved, or production-compliant unless that has been separately certified. Say it is designed to support aged-care training, compliance visibility, and workforce learning workflows.</w:t>
            </w:r>
          </w:p>
        </w:tc>
      </w:tr>
    </w:tbl>
    <w:p/>
    <w:p>
      <w:pPr>
        <w:pStyle w:val="Heading1"/>
      </w:pPr>
      <w:r>
        <w:t>6. Demo Script</w:t>
      </w:r>
    </w:p>
    <w:p>
      <w:pPr>
        <w:pStyle w:val="Heading2"/>
      </w:pPr>
      <w:r>
        <w:t>30-second pitch</w:t>
      </w:r>
    </w:p>
    <w:p>
      <w:r>
        <w:t>MedSphere is a learning management system designed around aged-care workforce training. It gives learners mobile-friendly access to courses, schedules, certificates, messages, and community support, while admins can create courses, upload videos and PDFs, build quizzes, manage teams, assign schedules, issue certificates, and track analytics. The goal is to help aged-care providers make training visible, measurable, and easier to complete around real care work.</w:t>
      </w:r>
    </w:p>
    <w:p>
      <w:pPr>
        <w:pStyle w:val="Heading2"/>
      </w:pPr>
      <w:r>
        <w:t>3-minute walkthrough</w:t>
      </w:r>
    </w:p>
    <w:p>
      <w:pPr>
        <w:pStyle w:val="ListNumber"/>
      </w:pPr>
      <w:r>
        <w:t>Start on the home page and say the product is built for aged-care learning rather than generic corporate training.</w:t>
      </w:r>
    </w:p>
    <w:p>
      <w:pPr>
        <w:pStyle w:val="ListNumber"/>
      </w:pPr>
      <w:r>
        <w:t>Log in as an admin and open the dashboard. Point to active learners, completion rate, quiz score, recent activity, and course performance.</w:t>
      </w:r>
    </w:p>
    <w:p>
      <w:pPr>
        <w:pStyle w:val="ListNumber"/>
      </w:pPr>
      <w:r>
        <w:t>Open Course Management. Show course creation: title, description, free/paid option, duration, rating, upload titles for videos/PDFs, and quiz builder.</w:t>
      </w:r>
    </w:p>
    <w:p>
      <w:pPr>
        <w:pStyle w:val="ListNumber"/>
      </w:pPr>
      <w:r>
        <w:t>Open User or Team Management. Show that learners can be organised by group, team, location, and admin responsibility.</w:t>
      </w:r>
    </w:p>
    <w:p>
      <w:pPr>
        <w:pStyle w:val="ListNumber"/>
      </w:pPr>
      <w:r>
        <w:t>Switch to learner view. Open Browse Courses and show free courses display Enroll while paid courses display Buy.</w:t>
      </w:r>
    </w:p>
    <w:p>
      <w:pPr>
        <w:pStyle w:val="ListNumber"/>
      </w:pPr>
      <w:r>
        <w:t>Open a course detail page. Show content, quiz, exact progress, and certificate path.</w:t>
      </w:r>
    </w:p>
    <w:p>
      <w:pPr>
        <w:pStyle w:val="ListNumber"/>
      </w:pPr>
      <w:r>
        <w:t>Open Schedule, Messages, or Community to show support beyond a simple course catalogue.</w:t>
      </w:r>
    </w:p>
    <w:p>
      <w:pPr>
        <w:pStyle w:val="Heading2"/>
      </w:pPr>
      <w:r>
        <w:t>7-minute deeper route</w:t>
      </w:r>
    </w:p>
    <w:p>
      <w:pPr>
        <w:pStyle w:val="ListNumber"/>
      </w:pPr>
      <w:r>
        <w:t>Admin: Course Management - create a small course or show an existing aged-care course with content and quizzes.</w:t>
      </w:r>
    </w:p>
    <w:p>
      <w:pPr>
        <w:pStyle w:val="ListNumber"/>
      </w:pPr>
      <w:r>
        <w:t>Admin: Schedule Management - assign a training event to a learner.</w:t>
      </w:r>
    </w:p>
    <w:p>
      <w:pPr>
        <w:pStyle w:val="ListNumber"/>
      </w:pPr>
      <w:r>
        <w:t>Admin: Analytics - explain how managers can spot completion gaps and training demand.</w:t>
      </w:r>
    </w:p>
    <w:p>
      <w:pPr>
        <w:pStyle w:val="ListNumber"/>
      </w:pPr>
      <w:r>
        <w:t>Learner: Dashboard - show quick actions and the upcoming task view.</w:t>
      </w:r>
    </w:p>
    <w:p>
      <w:pPr>
        <w:pStyle w:val="ListNumber"/>
      </w:pPr>
      <w:r>
        <w:t>Learner: Browse Courses - highlight free/paid courses, duration, rating, and enrolled count.</w:t>
      </w:r>
    </w:p>
    <w:p>
      <w:pPr>
        <w:pStyle w:val="ListNumber"/>
      </w:pPr>
      <w:r>
        <w:t>Learner: Course Detail - complete a content item or quiz to show progress changes.</w:t>
      </w:r>
    </w:p>
    <w:p>
      <w:pPr>
        <w:pStyle w:val="ListNumber"/>
      </w:pPr>
      <w:r>
        <w:t>Learner: Schedule - add an event such as 'Medication quiz revision' and explain shift-friendly planning.</w:t>
      </w:r>
    </w:p>
    <w:p>
      <w:pPr>
        <w:pStyle w:val="ListNumber"/>
      </w:pPr>
      <w:r>
        <w:t>Learner: Certificates - show downloadable certificate evidence.</w:t>
      </w:r>
    </w:p>
    <w:p>
      <w:pPr>
        <w:pStyle w:val="ListNumber"/>
      </w:pPr>
      <w:r>
        <w:t>Learner: Community/Messages - show support and communication with educators/admins.</w:t>
      </w:r>
    </w:p>
    <w:p>
      <w:pPr>
        <w:pStyle w:val="Heading1"/>
      </w:pPr>
      <w:r>
        <w:t>7. What Each Team Member Should Say</w:t>
      </w:r>
    </w:p>
    <w:tbl>
      <w:tblPr>
        <w:tblW w:type="dxa" w:w="9360"/>
        <w:jc w:val="left"/>
        <w:tblLayout w:type="fixed"/>
        <w:tblLook w:firstColumn="1" w:firstRow="1" w:lastColumn="0" w:lastRow="0" w:noHBand="0" w:noVBand="1" w:val="04A0"/>
        <w:tblInd w:w="120" w:type="dxa"/>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1700"/>
        <w:gridCol w:w="7660"/>
      </w:tblGrid>
      <w:tr>
        <w:tc>
          <w:tcPr>
            <w:tcW w:type="dxa" w:w="1700"/>
            <w:tcMar>
              <w:top w:w="80" w:type="dxa"/>
              <w:bottom w:w="80" w:type="dxa"/>
              <w:start w:w="120" w:type="dxa"/>
              <w:end w:w="120" w:type="dxa"/>
            </w:tcMar>
            <w:vAlign w:val="center"/>
            <w:shd w:fill="E8EEF5"/>
          </w:tcPr>
          <w:p>
            <w:pPr>
              <w:spacing w:after="0" w:line="276" w:lineRule="auto"/>
            </w:pPr>
            <w:r/>
            <w:r>
              <w:rPr>
                <w:rFonts w:ascii="Calibri" w:hAnsi="Calibri"/>
                <w:b/>
                <w:color w:val="1F4D78"/>
                <w:sz w:val="19"/>
              </w:rPr>
              <w:t>Role</w:t>
            </w:r>
          </w:p>
        </w:tc>
        <w:tc>
          <w:tcPr>
            <w:tcW w:type="dxa" w:w="7660"/>
            <w:tcMar>
              <w:top w:w="80" w:type="dxa"/>
              <w:bottom w:w="80" w:type="dxa"/>
              <w:start w:w="120" w:type="dxa"/>
              <w:end w:w="120" w:type="dxa"/>
            </w:tcMar>
            <w:vAlign w:val="center"/>
            <w:shd w:fill="E8EEF5"/>
          </w:tcPr>
          <w:p>
            <w:pPr>
              <w:spacing w:after="0" w:line="276" w:lineRule="auto"/>
            </w:pPr>
            <w:r/>
            <w:r>
              <w:rPr>
                <w:rFonts w:ascii="Calibri" w:hAnsi="Calibri"/>
                <w:b/>
                <w:color w:val="1F4D78"/>
                <w:sz w:val="19"/>
              </w:rPr>
              <w:t>Main talking points</w:t>
            </w:r>
          </w:p>
        </w:tc>
      </w:tr>
      <w:tr>
        <w:tc>
          <w:tcPr>
            <w:tcW w:type="dxa" w:w="1700"/>
          </w:tcPr>
          <w:p>
            <w:pPr>
              <w:spacing w:after="0" w:line="276" w:lineRule="auto"/>
            </w:pPr>
            <w:r/>
            <w:r>
              <w:rPr>
                <w:rFonts w:ascii="Calibri" w:hAnsi="Calibri"/>
                <w:b w:val="0"/>
                <w:sz w:val="18"/>
              </w:rPr>
              <w:t>Opening presenter</w:t>
            </w:r>
          </w:p>
        </w:tc>
        <w:tc>
          <w:tcPr>
            <w:tcW w:type="dxa" w:w="7660"/>
          </w:tcPr>
          <w:p>
            <w:pPr>
              <w:spacing w:after="0" w:line="276" w:lineRule="auto"/>
            </w:pPr>
            <w:r/>
            <w:r>
              <w:rPr>
                <w:rFonts w:ascii="Calibri" w:hAnsi="Calibri"/>
                <w:b w:val="0"/>
                <w:sz w:val="18"/>
              </w:rPr>
              <w:t>Problem: aged-care training must be visible, current, and easier for staff to complete. Solution: MedSphere combines learning, scheduling, evidence, communication, and admin oversight.</w:t>
            </w:r>
          </w:p>
        </w:tc>
      </w:tr>
      <w:tr>
        <w:tc>
          <w:tcPr>
            <w:tcW w:type="dxa" w:w="1700"/>
          </w:tcPr>
          <w:p>
            <w:pPr>
              <w:spacing w:after="0" w:line="276" w:lineRule="auto"/>
            </w:pPr>
            <w:r/>
            <w:r>
              <w:rPr>
                <w:rFonts w:ascii="Calibri" w:hAnsi="Calibri"/>
                <w:b w:val="0"/>
                <w:sz w:val="18"/>
              </w:rPr>
              <w:t>Learner demo lead</w:t>
            </w:r>
          </w:p>
        </w:tc>
        <w:tc>
          <w:tcPr>
            <w:tcW w:type="dxa" w:w="7660"/>
          </w:tcPr>
          <w:p>
            <w:pPr>
              <w:spacing w:after="0" w:line="276" w:lineRule="auto"/>
            </w:pPr>
            <w:r/>
            <w:r>
              <w:rPr>
                <w:rFonts w:ascii="Calibri" w:hAnsi="Calibri"/>
                <w:b w:val="0"/>
                <w:sz w:val="18"/>
              </w:rPr>
              <w:t>Show mobile-friendly dashboard, browse courses, course detail, progress, quizzes, certificates, schedule, messages, and community.</w:t>
            </w:r>
          </w:p>
        </w:tc>
      </w:tr>
      <w:tr>
        <w:tc>
          <w:tcPr>
            <w:tcW w:type="dxa" w:w="1700"/>
          </w:tcPr>
          <w:p>
            <w:pPr>
              <w:spacing w:after="0" w:line="276" w:lineRule="auto"/>
            </w:pPr>
            <w:r/>
            <w:r>
              <w:rPr>
                <w:rFonts w:ascii="Calibri" w:hAnsi="Calibri"/>
                <w:b w:val="0"/>
                <w:sz w:val="18"/>
              </w:rPr>
              <w:t>Admin demo lead</w:t>
            </w:r>
          </w:p>
        </w:tc>
        <w:tc>
          <w:tcPr>
            <w:tcW w:type="dxa" w:w="7660"/>
          </w:tcPr>
          <w:p>
            <w:pPr>
              <w:spacing w:after="0" w:line="276" w:lineRule="auto"/>
            </w:pPr>
            <w:r/>
            <w:r>
              <w:rPr>
                <w:rFonts w:ascii="Calibri" w:hAnsi="Calibri"/>
                <w:b w:val="0"/>
                <w:sz w:val="18"/>
              </w:rPr>
              <w:t>Show course creation, uploads with titles, free/paid pricing, users/groups/teams, schedule assignment, certificates, analytics, and settings.</w:t>
            </w:r>
          </w:p>
        </w:tc>
      </w:tr>
      <w:tr>
        <w:tc>
          <w:tcPr>
            <w:tcW w:type="dxa" w:w="1700"/>
          </w:tcPr>
          <w:p>
            <w:pPr>
              <w:spacing w:after="0" w:line="276" w:lineRule="auto"/>
            </w:pPr>
            <w:r/>
            <w:r>
              <w:rPr>
                <w:rFonts w:ascii="Calibri" w:hAnsi="Calibri"/>
                <w:b w:val="0"/>
                <w:sz w:val="18"/>
              </w:rPr>
              <w:t>Technical lead</w:t>
            </w:r>
          </w:p>
        </w:tc>
        <w:tc>
          <w:tcPr>
            <w:tcW w:type="dxa" w:w="7660"/>
          </w:tcPr>
          <w:p>
            <w:pPr>
              <w:spacing w:after="0" w:line="276" w:lineRule="auto"/>
            </w:pPr>
            <w:r/>
            <w:r>
              <w:rPr>
                <w:rFonts w:ascii="Calibri" w:hAnsi="Calibri"/>
                <w:b w:val="0"/>
                <w:sz w:val="18"/>
              </w:rPr>
              <w:t>Explain React/Vite frontend, FastAPI backend, SQLAlchemy models, JWT auth, Supabase/Postgres support, storage fallback, and REST API structure.</w:t>
            </w:r>
          </w:p>
        </w:tc>
      </w:tr>
      <w:tr>
        <w:tc>
          <w:tcPr>
            <w:tcW w:type="dxa" w:w="1700"/>
          </w:tcPr>
          <w:p>
            <w:pPr>
              <w:spacing w:after="0" w:line="276" w:lineRule="auto"/>
            </w:pPr>
            <w:r/>
            <w:r>
              <w:rPr>
                <w:rFonts w:ascii="Calibri" w:hAnsi="Calibri"/>
                <w:b w:val="0"/>
                <w:sz w:val="18"/>
              </w:rPr>
              <w:t>Q&amp;A closer</w:t>
            </w:r>
          </w:p>
        </w:tc>
        <w:tc>
          <w:tcPr>
            <w:tcW w:type="dxa" w:w="7660"/>
          </w:tcPr>
          <w:p>
            <w:pPr>
              <w:spacing w:after="0" w:line="276" w:lineRule="auto"/>
            </w:pPr>
            <w:r/>
            <w:r>
              <w:rPr>
                <w:rFonts w:ascii="Calibri" w:hAnsi="Calibri"/>
                <w:b w:val="0"/>
                <w:sz w:val="18"/>
              </w:rPr>
              <w:t>Acknowledge roadmap items honestly while returning to the strong prototype: role-based LMS, aged-care workflows, measurable progress, and scheduling/communication.</w:t>
            </w:r>
          </w:p>
        </w:tc>
      </w:tr>
    </w:tbl>
    <w:p/>
    <w:p>
      <w:pPr>
        <w:pStyle w:val="Heading1"/>
      </w:pPr>
      <w:r>
        <w:t>8. Technical Section: Know This for Tomorrow</w:t>
      </w:r>
    </w:p>
    <w:p>
      <w:pPr>
        <w:pStyle w:val="Heading2"/>
      </w:pPr>
      <w:r>
        <w:t>Architecture</w:t>
      </w:r>
    </w:p>
    <w:tbl>
      <w:tblPr>
        <w:tblW w:type="dxa" w:w="9360"/>
        <w:jc w:val="left"/>
        <w:tblLayout w:type="fixed"/>
        <w:tblLook w:firstColumn="1" w:firstRow="1" w:lastColumn="0" w:lastRow="0" w:noHBand="0" w:noVBand="1" w:val="04A0"/>
        <w:tblInd w:w="120" w:type="dxa"/>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1700"/>
        <w:gridCol w:w="7660"/>
      </w:tblGrid>
      <w:tr>
        <w:tc>
          <w:tcPr>
            <w:tcW w:type="dxa" w:w="1700"/>
            <w:tcMar>
              <w:top w:w="80" w:type="dxa"/>
              <w:bottom w:w="80" w:type="dxa"/>
              <w:start w:w="120" w:type="dxa"/>
              <w:end w:w="120" w:type="dxa"/>
            </w:tcMar>
            <w:vAlign w:val="center"/>
            <w:shd w:fill="E8EEF5"/>
          </w:tcPr>
          <w:p>
            <w:pPr>
              <w:spacing w:after="0" w:line="276" w:lineRule="auto"/>
            </w:pPr>
            <w:r/>
            <w:r>
              <w:rPr>
                <w:rFonts w:ascii="Calibri" w:hAnsi="Calibri"/>
                <w:b/>
                <w:color w:val="1F4D78"/>
                <w:sz w:val="19"/>
              </w:rPr>
              <w:t>Layer</w:t>
            </w:r>
          </w:p>
        </w:tc>
        <w:tc>
          <w:tcPr>
            <w:tcW w:type="dxa" w:w="7660"/>
            <w:tcMar>
              <w:top w:w="80" w:type="dxa"/>
              <w:bottom w:w="80" w:type="dxa"/>
              <w:start w:w="120" w:type="dxa"/>
              <w:end w:w="120" w:type="dxa"/>
            </w:tcMar>
            <w:vAlign w:val="center"/>
            <w:shd w:fill="E8EEF5"/>
          </w:tcPr>
          <w:p>
            <w:pPr>
              <w:spacing w:after="0" w:line="276" w:lineRule="auto"/>
            </w:pPr>
            <w:r/>
            <w:r>
              <w:rPr>
                <w:rFonts w:ascii="Calibri" w:hAnsi="Calibri"/>
                <w:b/>
                <w:color w:val="1F4D78"/>
                <w:sz w:val="19"/>
              </w:rPr>
              <w:t>Details</w:t>
            </w:r>
          </w:p>
        </w:tc>
      </w:tr>
      <w:tr>
        <w:tc>
          <w:tcPr>
            <w:tcW w:type="dxa" w:w="1700"/>
          </w:tcPr>
          <w:p>
            <w:pPr>
              <w:spacing w:after="0" w:line="276" w:lineRule="auto"/>
            </w:pPr>
            <w:r/>
            <w:r>
              <w:rPr>
                <w:rFonts w:ascii="Calibri" w:hAnsi="Calibri"/>
                <w:b w:val="0"/>
                <w:sz w:val="18"/>
              </w:rPr>
              <w:t>Frontend</w:t>
            </w:r>
          </w:p>
        </w:tc>
        <w:tc>
          <w:tcPr>
            <w:tcW w:type="dxa" w:w="7660"/>
          </w:tcPr>
          <w:p>
            <w:pPr>
              <w:spacing w:after="0" w:line="276" w:lineRule="auto"/>
            </w:pPr>
            <w:r/>
            <w:r>
              <w:rPr>
                <w:rFonts w:ascii="Calibri" w:hAnsi="Calibri"/>
                <w:b w:val="0"/>
                <w:sz w:val="18"/>
              </w:rPr>
              <w:t>React, TypeScript, Vite, React Router, Radix/shadcn-style UI components, Lucide icons, Recharts, Sonner notifications, html2canvas and jsPDF for certificates.</w:t>
            </w:r>
          </w:p>
        </w:tc>
      </w:tr>
      <w:tr>
        <w:tc>
          <w:tcPr>
            <w:tcW w:type="dxa" w:w="1700"/>
          </w:tcPr>
          <w:p>
            <w:pPr>
              <w:spacing w:after="0" w:line="276" w:lineRule="auto"/>
            </w:pPr>
            <w:r/>
            <w:r>
              <w:rPr>
                <w:rFonts w:ascii="Calibri" w:hAnsi="Calibri"/>
                <w:b w:val="0"/>
                <w:sz w:val="18"/>
              </w:rPr>
              <w:t>Backend</w:t>
            </w:r>
          </w:p>
        </w:tc>
        <w:tc>
          <w:tcPr>
            <w:tcW w:type="dxa" w:w="7660"/>
          </w:tcPr>
          <w:p>
            <w:pPr>
              <w:spacing w:after="0" w:line="276" w:lineRule="auto"/>
            </w:pPr>
            <w:r/>
            <w:r>
              <w:rPr>
                <w:rFonts w:ascii="Calibri" w:hAnsi="Calibri"/>
                <w:b w:val="0"/>
                <w:sz w:val="18"/>
              </w:rPr>
              <w:t>FastAPI, Uvicorn, SQLAlchemy ORM, Pydantic schemas, Passlib/bcrypt password hashing, python-jose JWT authentication, role-protected admin routes.</w:t>
            </w:r>
          </w:p>
        </w:tc>
      </w:tr>
      <w:tr>
        <w:tc>
          <w:tcPr>
            <w:tcW w:type="dxa" w:w="1700"/>
          </w:tcPr>
          <w:p>
            <w:pPr>
              <w:spacing w:after="0" w:line="276" w:lineRule="auto"/>
            </w:pPr>
            <w:r/>
            <w:r>
              <w:rPr>
                <w:rFonts w:ascii="Calibri" w:hAnsi="Calibri"/>
                <w:b w:val="0"/>
                <w:sz w:val="18"/>
              </w:rPr>
              <w:t>Database</w:t>
            </w:r>
          </w:p>
        </w:tc>
        <w:tc>
          <w:tcPr>
            <w:tcW w:type="dxa" w:w="7660"/>
          </w:tcPr>
          <w:p>
            <w:pPr>
              <w:spacing w:after="0" w:line="276" w:lineRule="auto"/>
            </w:pPr>
            <w:r/>
            <w:r>
              <w:rPr>
                <w:rFonts w:ascii="Calibri" w:hAnsi="Calibri"/>
                <w:b w:val="0"/>
                <w:sz w:val="18"/>
              </w:rPr>
              <w:t>PostgreSQL/Supabase through DATABASE_URL, with SQLite fallback for local development. Models cover users, groups, teams, roles, courses, content, quizzes, enrolments, progress, schedules, certificates, messages, channels, notifications, and settings.</w:t>
            </w:r>
          </w:p>
        </w:tc>
      </w:tr>
      <w:tr>
        <w:tc>
          <w:tcPr>
            <w:tcW w:type="dxa" w:w="1700"/>
          </w:tcPr>
          <w:p>
            <w:pPr>
              <w:spacing w:after="0" w:line="276" w:lineRule="auto"/>
            </w:pPr>
            <w:r/>
            <w:r>
              <w:rPr>
                <w:rFonts w:ascii="Calibri" w:hAnsi="Calibri"/>
                <w:b w:val="0"/>
                <w:sz w:val="18"/>
              </w:rPr>
              <w:t>Storage</w:t>
            </w:r>
          </w:p>
        </w:tc>
        <w:tc>
          <w:tcPr>
            <w:tcW w:type="dxa" w:w="7660"/>
          </w:tcPr>
          <w:p>
            <w:pPr>
              <w:spacing w:after="0" w:line="276" w:lineRule="auto"/>
            </w:pPr>
            <w:r/>
            <w:r>
              <w:rPr>
                <w:rFonts w:ascii="Calibri" w:hAnsi="Calibri"/>
                <w:b w:val="0"/>
                <w:sz w:val="18"/>
              </w:rPr>
              <w:t>Supabase Storage buckets for course content and profile pictures, with local uploads fallback if Supabase is not configured.</w:t>
            </w:r>
          </w:p>
        </w:tc>
      </w:tr>
      <w:tr>
        <w:tc>
          <w:tcPr>
            <w:tcW w:type="dxa" w:w="1700"/>
          </w:tcPr>
          <w:p>
            <w:pPr>
              <w:spacing w:after="0" w:line="276" w:lineRule="auto"/>
            </w:pPr>
            <w:r/>
            <w:r>
              <w:rPr>
                <w:rFonts w:ascii="Calibri" w:hAnsi="Calibri"/>
                <w:b w:val="0"/>
                <w:sz w:val="18"/>
              </w:rPr>
              <w:t>API client</w:t>
            </w:r>
          </w:p>
        </w:tc>
        <w:tc>
          <w:tcPr>
            <w:tcW w:type="dxa" w:w="7660"/>
          </w:tcPr>
          <w:p>
            <w:pPr>
              <w:spacing w:after="0" w:line="276" w:lineRule="auto"/>
            </w:pPr>
            <w:r/>
            <w:r>
              <w:rPr>
                <w:rFonts w:ascii="Calibri" w:hAnsi="Calibri"/>
                <w:b w:val="0"/>
                <w:sz w:val="18"/>
              </w:rPr>
              <w:t>src/lib/api.ts centralises frontend calls and uses VITE_API_URL, defaulting locally to http://localhost:8000/api.</w:t>
            </w:r>
          </w:p>
        </w:tc>
      </w:tr>
      <w:tr>
        <w:tc>
          <w:tcPr>
            <w:tcW w:type="dxa" w:w="1700"/>
          </w:tcPr>
          <w:p>
            <w:pPr>
              <w:spacing w:after="0" w:line="276" w:lineRule="auto"/>
            </w:pPr>
            <w:r/>
            <w:r>
              <w:rPr>
                <w:rFonts w:ascii="Calibri" w:hAnsi="Calibri"/>
                <w:b w:val="0"/>
                <w:sz w:val="18"/>
              </w:rPr>
              <w:t>Local demo URLs</w:t>
            </w:r>
          </w:p>
        </w:tc>
        <w:tc>
          <w:tcPr>
            <w:tcW w:type="dxa" w:w="7660"/>
          </w:tcPr>
          <w:p>
            <w:pPr>
              <w:spacing w:after="0" w:line="276" w:lineRule="auto"/>
            </w:pPr>
            <w:r/>
            <w:r>
              <w:rPr>
                <w:rFonts w:ascii="Calibri" w:hAnsi="Calibri"/>
                <w:b w:val="0"/>
                <w:sz w:val="18"/>
              </w:rPr>
              <w:t>Backend: http://127.0.0.1:8000. Frontend: http://localhost:5173. API docs are available at http://127.0.0.1:8000/docs when the backend is running.</w:t>
            </w:r>
          </w:p>
        </w:tc>
      </w:tr>
    </w:tbl>
    <w:p/>
    <w:p>
      <w:pPr>
        <w:pStyle w:val="Heading2"/>
      </w:pPr>
      <w:r>
        <w:t>Data flow to explain</w:t>
      </w:r>
    </w:p>
    <w:p>
      <w:pPr>
        <w:pStyle w:val="ListNumber"/>
      </w:pPr>
      <w:r>
        <w:t>Admin creates a course with title, description, category, duration, rating, free/paid price, uploads, and quizzes.</w:t>
      </w:r>
    </w:p>
    <w:p>
      <w:pPr>
        <w:pStyle w:val="ListNumber"/>
      </w:pPr>
      <w:r>
        <w:t>Admin publishes the course.</w:t>
      </w:r>
    </w:p>
    <w:p>
      <w:pPr>
        <w:pStyle w:val="ListNumber"/>
      </w:pPr>
      <w:r>
        <w:t>Learner sees it in Browse Courses with price state, duration, rating, and enrolled count.</w:t>
      </w:r>
    </w:p>
    <w:p>
      <w:pPr>
        <w:pStyle w:val="ListNumber"/>
      </w:pPr>
      <w:r>
        <w:t>Learner enrols or buys. The backend creates an enrolment, schedule item, and notification.</w:t>
      </w:r>
    </w:p>
    <w:p>
      <w:pPr>
        <w:pStyle w:val="ListNumber"/>
      </w:pPr>
      <w:r>
        <w:t>Learner opens content and completes quizzes.</w:t>
      </w:r>
    </w:p>
    <w:p>
      <w:pPr>
        <w:pStyle w:val="ListNumber"/>
      </w:pPr>
      <w:r>
        <w:t>Backend recalculates progress using content items and passed quizzes.</w:t>
      </w:r>
    </w:p>
    <w:p>
      <w:pPr>
        <w:pStyle w:val="ListNumber"/>
      </w:pPr>
      <w:r>
        <w:t>Admin and learner dashboards reflect progress, certificates, and analytics.</w:t>
      </w:r>
    </w:p>
    <w:p>
      <w:pPr>
        <w:pStyle w:val="Heading2"/>
      </w:pPr>
      <w:r>
        <w:t>Demo credentials</w:t>
      </w:r>
    </w:p>
    <w:p>
      <w:r>
        <w:t>If the database was seeded with backend/seed_marketing.py, use these accounts. Password for both is demo123.</w:t>
      </w:r>
    </w:p>
    <w:tbl>
      <w:tblPr>
        <w:tblW w:type="dxa" w:w="9360"/>
        <w:jc w:val="left"/>
        <w:tblLayout w:type="fixed"/>
        <w:tblLook w:firstColumn="1" w:firstRow="1" w:lastColumn="0" w:lastRow="0" w:noHBand="0" w:noVBand="1" w:val="04A0"/>
        <w:tblInd w:w="120" w:type="dxa"/>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1600"/>
        <w:gridCol w:w="5000"/>
        <w:gridCol w:w="2760"/>
      </w:tblGrid>
      <w:tr>
        <w:tc>
          <w:tcPr>
            <w:tcW w:type="dxa" w:w="1600"/>
            <w:tcMar>
              <w:top w:w="80" w:type="dxa"/>
              <w:bottom w:w="80" w:type="dxa"/>
              <w:start w:w="120" w:type="dxa"/>
              <w:end w:w="120" w:type="dxa"/>
            </w:tcMar>
            <w:vAlign w:val="center"/>
            <w:shd w:fill="E8EEF5"/>
          </w:tcPr>
          <w:p>
            <w:pPr>
              <w:spacing w:after="0" w:line="276" w:lineRule="auto"/>
            </w:pPr>
            <w:r/>
            <w:r>
              <w:rPr>
                <w:rFonts w:ascii="Calibri" w:hAnsi="Calibri"/>
                <w:b/>
                <w:color w:val="1F4D78"/>
                <w:sz w:val="19"/>
              </w:rPr>
              <w:t>Role</w:t>
            </w:r>
          </w:p>
        </w:tc>
        <w:tc>
          <w:tcPr>
            <w:tcW w:type="dxa" w:w="5000"/>
            <w:tcMar>
              <w:top w:w="80" w:type="dxa"/>
              <w:bottom w:w="80" w:type="dxa"/>
              <w:start w:w="120" w:type="dxa"/>
              <w:end w:w="120" w:type="dxa"/>
            </w:tcMar>
            <w:vAlign w:val="center"/>
            <w:shd w:fill="E8EEF5"/>
          </w:tcPr>
          <w:p>
            <w:pPr>
              <w:spacing w:after="0" w:line="276" w:lineRule="auto"/>
            </w:pPr>
            <w:r/>
            <w:r>
              <w:rPr>
                <w:rFonts w:ascii="Calibri" w:hAnsi="Calibri"/>
                <w:b/>
                <w:color w:val="1F4D78"/>
                <w:sz w:val="19"/>
              </w:rPr>
              <w:t>Email</w:t>
            </w:r>
          </w:p>
        </w:tc>
        <w:tc>
          <w:tcPr>
            <w:tcW w:type="dxa" w:w="2760"/>
            <w:tcMar>
              <w:top w:w="80" w:type="dxa"/>
              <w:bottom w:w="80" w:type="dxa"/>
              <w:start w:w="120" w:type="dxa"/>
              <w:end w:w="120" w:type="dxa"/>
            </w:tcMar>
            <w:vAlign w:val="center"/>
            <w:shd w:fill="E8EEF5"/>
          </w:tcPr>
          <w:p>
            <w:pPr>
              <w:spacing w:after="0" w:line="276" w:lineRule="auto"/>
            </w:pPr>
            <w:r/>
            <w:r>
              <w:rPr>
                <w:rFonts w:ascii="Calibri" w:hAnsi="Calibri"/>
                <w:b/>
                <w:color w:val="1F4D78"/>
                <w:sz w:val="19"/>
              </w:rPr>
              <w:t>Password</w:t>
            </w:r>
          </w:p>
        </w:tc>
      </w:tr>
      <w:tr>
        <w:tc>
          <w:tcPr>
            <w:tcW w:type="dxa" w:w="1600"/>
          </w:tcPr>
          <w:p>
            <w:pPr>
              <w:spacing w:after="0" w:line="276" w:lineRule="auto"/>
            </w:pPr>
            <w:r/>
            <w:r>
              <w:rPr>
                <w:rFonts w:ascii="Calibri" w:hAnsi="Calibri"/>
                <w:b w:val="0"/>
                <w:sz w:val="18"/>
              </w:rPr>
              <w:t>Admin</w:t>
            </w:r>
          </w:p>
        </w:tc>
        <w:tc>
          <w:tcPr>
            <w:tcW w:type="dxa" w:w="5000"/>
          </w:tcPr>
          <w:p>
            <w:pPr>
              <w:spacing w:after="0" w:line="276" w:lineRule="auto"/>
            </w:pPr>
            <w:r/>
            <w:r>
              <w:rPr>
                <w:rFonts w:ascii="Calibri" w:hAnsi="Calibri"/>
                <w:b w:val="0"/>
                <w:sz w:val="18"/>
              </w:rPr>
              <w:t>admin@medsphere.com.au</w:t>
            </w:r>
          </w:p>
        </w:tc>
        <w:tc>
          <w:tcPr>
            <w:tcW w:type="dxa" w:w="2760"/>
          </w:tcPr>
          <w:p>
            <w:pPr>
              <w:spacing w:after="0" w:line="276" w:lineRule="auto"/>
            </w:pPr>
            <w:r/>
            <w:r>
              <w:rPr>
                <w:rFonts w:ascii="Calibri" w:hAnsi="Calibri"/>
                <w:b w:val="0"/>
                <w:sz w:val="18"/>
              </w:rPr>
              <w:t>demo123</w:t>
            </w:r>
          </w:p>
        </w:tc>
      </w:tr>
      <w:tr>
        <w:tc>
          <w:tcPr>
            <w:tcW w:type="dxa" w:w="1600"/>
          </w:tcPr>
          <w:p>
            <w:pPr>
              <w:spacing w:after="0" w:line="276" w:lineRule="auto"/>
            </w:pPr>
            <w:r/>
            <w:r>
              <w:rPr>
                <w:rFonts w:ascii="Calibri" w:hAnsi="Calibri"/>
                <w:b w:val="0"/>
                <w:sz w:val="18"/>
              </w:rPr>
              <w:t>Learner</w:t>
            </w:r>
          </w:p>
        </w:tc>
        <w:tc>
          <w:tcPr>
            <w:tcW w:type="dxa" w:w="5000"/>
          </w:tcPr>
          <w:p>
            <w:pPr>
              <w:spacing w:after="0" w:line="276" w:lineRule="auto"/>
            </w:pPr>
            <w:r/>
            <w:r>
              <w:rPr>
                <w:rFonts w:ascii="Calibri" w:hAnsi="Calibri"/>
                <w:b w:val="0"/>
                <w:sz w:val="18"/>
              </w:rPr>
              <w:t>sarah.chen@medsphere.com.au</w:t>
            </w:r>
          </w:p>
        </w:tc>
        <w:tc>
          <w:tcPr>
            <w:tcW w:type="dxa" w:w="2760"/>
          </w:tcPr>
          <w:p>
            <w:pPr>
              <w:spacing w:after="0" w:line="276" w:lineRule="auto"/>
            </w:pPr>
            <w:r/>
            <w:r>
              <w:rPr>
                <w:rFonts w:ascii="Calibri" w:hAnsi="Calibri"/>
                <w:b w:val="0"/>
                <w:sz w:val="18"/>
              </w:rPr>
              <w:t>demo123</w:t>
            </w:r>
          </w:p>
        </w:tc>
      </w:tr>
    </w:tbl>
    <w:p/>
    <w:p>
      <w:pPr>
        <w:pStyle w:val="Heading2"/>
      </w:pPr>
      <w:r>
        <w:t>Honest technical limitations and roadmap</w:t>
      </w:r>
    </w:p>
    <w:tbl>
      <w:tblPr>
        <w:tblW w:type="dxa" w:w="9360"/>
        <w:jc w:val="left"/>
        <w:tblLayout w:type="fixed"/>
        <w:tblLook w:firstColumn="1" w:firstRow="1" w:lastColumn="0" w:lastRow="0" w:noHBand="0" w:noVBand="1" w:val="04A0"/>
        <w:tblInd w:w="120" w:type="dxa"/>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1900"/>
        <w:gridCol w:w="7460"/>
      </w:tblGrid>
      <w:tr>
        <w:tc>
          <w:tcPr>
            <w:tcW w:type="dxa" w:w="1900"/>
            <w:tcMar>
              <w:top w:w="80" w:type="dxa"/>
              <w:bottom w:w="80" w:type="dxa"/>
              <w:start w:w="120" w:type="dxa"/>
              <w:end w:w="120" w:type="dxa"/>
            </w:tcMar>
            <w:vAlign w:val="center"/>
            <w:shd w:fill="E8EEF5"/>
          </w:tcPr>
          <w:p>
            <w:pPr>
              <w:spacing w:after="0" w:line="276" w:lineRule="auto"/>
            </w:pPr>
            <w:r/>
            <w:r>
              <w:rPr>
                <w:rFonts w:ascii="Calibri" w:hAnsi="Calibri"/>
                <w:b/>
                <w:color w:val="1F4D78"/>
                <w:sz w:val="19"/>
              </w:rPr>
              <w:t>Topic</w:t>
            </w:r>
          </w:p>
        </w:tc>
        <w:tc>
          <w:tcPr>
            <w:tcW w:type="dxa" w:w="7460"/>
            <w:tcMar>
              <w:top w:w="80" w:type="dxa"/>
              <w:bottom w:w="80" w:type="dxa"/>
              <w:start w:w="120" w:type="dxa"/>
              <w:end w:w="120" w:type="dxa"/>
            </w:tcMar>
            <w:vAlign w:val="center"/>
            <w:shd w:fill="E8EEF5"/>
          </w:tcPr>
          <w:p>
            <w:pPr>
              <w:spacing w:after="0" w:line="276" w:lineRule="auto"/>
            </w:pPr>
            <w:r/>
            <w:r>
              <w:rPr>
                <w:rFonts w:ascii="Calibri" w:hAnsi="Calibri"/>
                <w:b/>
                <w:color w:val="1F4D78"/>
                <w:sz w:val="19"/>
              </w:rPr>
              <w:t>What to say</w:t>
            </w:r>
          </w:p>
        </w:tc>
      </w:tr>
      <w:tr>
        <w:tc>
          <w:tcPr>
            <w:tcW w:type="dxa" w:w="1900"/>
          </w:tcPr>
          <w:p>
            <w:pPr>
              <w:spacing w:after="0" w:line="276" w:lineRule="auto"/>
            </w:pPr>
            <w:r/>
            <w:r>
              <w:rPr>
                <w:rFonts w:ascii="Calibri" w:hAnsi="Calibri"/>
                <w:b w:val="0"/>
                <w:sz w:val="18"/>
              </w:rPr>
              <w:t>Payments</w:t>
            </w:r>
          </w:p>
        </w:tc>
        <w:tc>
          <w:tcPr>
            <w:tcW w:type="dxa" w:w="7460"/>
          </w:tcPr>
          <w:p>
            <w:pPr>
              <w:spacing w:after="0" w:line="276" w:lineRule="auto"/>
            </w:pPr>
            <w:r/>
            <w:r>
              <w:rPr>
                <w:rFonts w:ascii="Calibri" w:hAnsi="Calibri"/>
                <w:b w:val="0"/>
                <w:sz w:val="18"/>
              </w:rPr>
              <w:t>The UI distinguishes free and paid courses, but a live payment gateway is not integrated yet. That is a natural next step.</w:t>
            </w:r>
          </w:p>
        </w:tc>
      </w:tr>
      <w:tr>
        <w:tc>
          <w:tcPr>
            <w:tcW w:type="dxa" w:w="1900"/>
          </w:tcPr>
          <w:p>
            <w:pPr>
              <w:spacing w:after="0" w:line="276" w:lineRule="auto"/>
            </w:pPr>
            <w:r/>
            <w:r>
              <w:rPr>
                <w:rFonts w:ascii="Calibri" w:hAnsi="Calibri"/>
                <w:b w:val="0"/>
                <w:sz w:val="18"/>
              </w:rPr>
              <w:t>Ratings</w:t>
            </w:r>
          </w:p>
        </w:tc>
        <w:tc>
          <w:tcPr>
            <w:tcW w:type="dxa" w:w="7460"/>
          </w:tcPr>
          <w:p>
            <w:pPr>
              <w:spacing w:after="0" w:line="276" w:lineRule="auto"/>
            </w:pPr>
            <w:r/>
            <w:r>
              <w:rPr>
                <w:rFonts w:ascii="Calibri" w:hAnsi="Calibri"/>
                <w:b w:val="0"/>
                <w:sz w:val="18"/>
              </w:rPr>
              <w:t>Ratings are admin-entered course metadata, not aggregated learner reviews yet.</w:t>
            </w:r>
          </w:p>
        </w:tc>
      </w:tr>
      <w:tr>
        <w:tc>
          <w:tcPr>
            <w:tcW w:type="dxa" w:w="1900"/>
          </w:tcPr>
          <w:p>
            <w:pPr>
              <w:spacing w:after="0" w:line="276" w:lineRule="auto"/>
            </w:pPr>
            <w:r/>
            <w:r>
              <w:rPr>
                <w:rFonts w:ascii="Calibri" w:hAnsi="Calibri"/>
                <w:b w:val="0"/>
                <w:sz w:val="18"/>
              </w:rPr>
              <w:t>Accreditation</w:t>
            </w:r>
          </w:p>
        </w:tc>
        <w:tc>
          <w:tcPr>
            <w:tcW w:type="dxa" w:w="7460"/>
          </w:tcPr>
          <w:p>
            <w:pPr>
              <w:spacing w:after="0" w:line="276" w:lineRule="auto"/>
            </w:pPr>
            <w:r/>
            <w:r>
              <w:rPr>
                <w:rFonts w:ascii="Calibri" w:hAnsi="Calibri"/>
                <w:b w:val="0"/>
                <w:sz w:val="18"/>
              </w:rPr>
              <w:t>The platform is tailored to aged-care training workflows, but formal course accreditation would depend on content provider approval and compliance review.</w:t>
            </w:r>
          </w:p>
        </w:tc>
      </w:tr>
      <w:tr>
        <w:tc>
          <w:tcPr>
            <w:tcW w:type="dxa" w:w="1900"/>
          </w:tcPr>
          <w:p>
            <w:pPr>
              <w:spacing w:after="0" w:line="276" w:lineRule="auto"/>
            </w:pPr>
            <w:r/>
            <w:r>
              <w:rPr>
                <w:rFonts w:ascii="Calibri" w:hAnsi="Calibri"/>
                <w:b w:val="0"/>
                <w:sz w:val="18"/>
              </w:rPr>
              <w:t>Email/SMS reminders</w:t>
            </w:r>
          </w:p>
        </w:tc>
        <w:tc>
          <w:tcPr>
            <w:tcW w:type="dxa" w:w="7460"/>
          </w:tcPr>
          <w:p>
            <w:pPr>
              <w:spacing w:after="0" w:line="276" w:lineRule="auto"/>
            </w:pPr>
            <w:r/>
            <w:r>
              <w:rPr>
                <w:rFonts w:ascii="Calibri" w:hAnsi="Calibri"/>
                <w:b w:val="0"/>
                <w:sz w:val="18"/>
              </w:rPr>
              <w:t>The schedule and upcoming-task experience is implemented. External push, SMS, or email reminder automation would be a production extension.</w:t>
            </w:r>
          </w:p>
        </w:tc>
      </w:tr>
      <w:tr>
        <w:tc>
          <w:tcPr>
            <w:tcW w:type="dxa" w:w="1900"/>
          </w:tcPr>
          <w:p>
            <w:pPr>
              <w:spacing w:after="0" w:line="276" w:lineRule="auto"/>
            </w:pPr>
            <w:r/>
            <w:r>
              <w:rPr>
                <w:rFonts w:ascii="Calibri" w:hAnsi="Calibri"/>
                <w:b w:val="0"/>
                <w:sz w:val="18"/>
              </w:rPr>
              <w:t>Social login</w:t>
            </w:r>
          </w:p>
        </w:tc>
        <w:tc>
          <w:tcPr>
            <w:tcW w:type="dxa" w:w="7460"/>
          </w:tcPr>
          <w:p>
            <w:pPr>
              <w:spacing w:after="0" w:line="276" w:lineRule="auto"/>
            </w:pPr>
            <w:r/>
            <w:r>
              <w:rPr>
                <w:rFonts w:ascii="Calibri" w:hAnsi="Calibri"/>
                <w:b w:val="0"/>
                <w:sz w:val="18"/>
              </w:rPr>
              <w:t>Login/signup use email and password. Social buttons should be treated as future integration if visible.</w:t>
            </w:r>
          </w:p>
        </w:tc>
      </w:tr>
      <w:tr>
        <w:tc>
          <w:tcPr>
            <w:tcW w:type="dxa" w:w="1900"/>
          </w:tcPr>
          <w:p>
            <w:pPr>
              <w:spacing w:after="0" w:line="276" w:lineRule="auto"/>
            </w:pPr>
            <w:r/>
            <w:r>
              <w:rPr>
                <w:rFonts w:ascii="Calibri" w:hAnsi="Calibri"/>
                <w:b w:val="0"/>
                <w:sz w:val="18"/>
              </w:rPr>
              <w:t>Exports/templates</w:t>
            </w:r>
          </w:p>
        </w:tc>
        <w:tc>
          <w:tcPr>
            <w:tcW w:type="dxa" w:w="7460"/>
          </w:tcPr>
          <w:p>
            <w:pPr>
              <w:spacing w:after="0" w:line="276" w:lineRule="auto"/>
            </w:pPr>
            <w:r/>
            <w:r>
              <w:rPr>
                <w:rFonts w:ascii="Calibri" w:hAnsi="Calibri"/>
                <w:b w:val="0"/>
                <w:sz w:val="18"/>
              </w:rPr>
              <w:t>Some advanced export/template menu options are UI direction rather than fully implemented production exports. Focus the demo on working course, schedule, certificate, community, and analytics flows.</w:t>
            </w:r>
          </w:p>
        </w:tc>
      </w:tr>
      <w:tr>
        <w:tc>
          <w:tcPr>
            <w:tcW w:type="dxa" w:w="1900"/>
          </w:tcPr>
          <w:p>
            <w:pPr>
              <w:spacing w:after="0" w:line="276" w:lineRule="auto"/>
            </w:pPr>
            <w:r/>
            <w:r>
              <w:rPr>
                <w:rFonts w:ascii="Calibri" w:hAnsi="Calibri"/>
                <w:b w:val="0"/>
                <w:sz w:val="18"/>
              </w:rPr>
              <w:t>Production security</w:t>
            </w:r>
          </w:p>
        </w:tc>
        <w:tc>
          <w:tcPr>
            <w:tcW w:type="dxa" w:w="7460"/>
          </w:tcPr>
          <w:p>
            <w:pPr>
              <w:spacing w:after="0" w:line="276" w:lineRule="auto"/>
            </w:pPr>
            <w:r/>
            <w:r>
              <w:rPr>
                <w:rFonts w:ascii="Calibri" w:hAnsi="Calibri"/>
                <w:b w:val="0"/>
                <w:sz w:val="18"/>
              </w:rPr>
              <w:t>JWT auth and hashed passwords are implemented. For production, tighten CORS, rotate secrets, configure environment variables, and review privacy/compliance requirements.</w:t>
            </w:r>
          </w:p>
        </w:tc>
      </w:tr>
    </w:tbl>
    <w:p/>
    <w:p>
      <w:pPr>
        <w:pStyle w:val="Heading1"/>
      </w:pPr>
      <w:r>
        <w:t>9. Questions Company Representatives May Ask</w:t>
      </w:r>
    </w:p>
    <w:tbl>
      <w:tblPr>
        <w:tblW w:type="dxa" w:w="9360"/>
        <w:jc w:val="left"/>
        <w:tblLayout w:type="fixed"/>
        <w:tblLook w:firstColumn="1" w:firstRow="1" w:lastColumn="0" w:lastRow="0" w:noHBand="0" w:noVBand="1" w:val="04A0"/>
        <w:tblInd w:w="120" w:type="dxa"/>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Pr>
      <w:tblGrid>
        <w:gridCol w:w="2500"/>
        <w:gridCol w:w="6860"/>
      </w:tblGrid>
      <w:tr>
        <w:tc>
          <w:tcPr>
            <w:tcW w:type="dxa" w:w="2500"/>
            <w:tcMar>
              <w:top w:w="80" w:type="dxa"/>
              <w:bottom w:w="80" w:type="dxa"/>
              <w:start w:w="120" w:type="dxa"/>
              <w:end w:w="120" w:type="dxa"/>
            </w:tcMar>
            <w:vAlign w:val="center"/>
            <w:shd w:fill="E8EEF5"/>
          </w:tcPr>
          <w:p>
            <w:pPr>
              <w:spacing w:after="0" w:line="276" w:lineRule="auto"/>
            </w:pPr>
            <w:r/>
            <w:r>
              <w:rPr>
                <w:rFonts w:ascii="Calibri" w:hAnsi="Calibri"/>
                <w:b/>
                <w:color w:val="1F4D78"/>
                <w:sz w:val="19"/>
              </w:rPr>
              <w:t>Question</w:t>
            </w:r>
          </w:p>
        </w:tc>
        <w:tc>
          <w:tcPr>
            <w:tcW w:type="dxa" w:w="6860"/>
            <w:tcMar>
              <w:top w:w="80" w:type="dxa"/>
              <w:bottom w:w="80" w:type="dxa"/>
              <w:start w:w="120" w:type="dxa"/>
              <w:end w:w="120" w:type="dxa"/>
            </w:tcMar>
            <w:vAlign w:val="center"/>
            <w:shd w:fill="E8EEF5"/>
          </w:tcPr>
          <w:p>
            <w:pPr>
              <w:spacing w:after="0" w:line="276" w:lineRule="auto"/>
            </w:pPr>
            <w:r/>
            <w:r>
              <w:rPr>
                <w:rFonts w:ascii="Calibri" w:hAnsi="Calibri"/>
                <w:b/>
                <w:color w:val="1F4D78"/>
                <w:sz w:val="19"/>
              </w:rPr>
              <w:t>Strong answer</w:t>
            </w:r>
          </w:p>
        </w:tc>
      </w:tr>
      <w:tr>
        <w:tc>
          <w:tcPr>
            <w:tcW w:type="dxa" w:w="2500"/>
          </w:tcPr>
          <w:p>
            <w:pPr>
              <w:spacing w:after="0" w:line="276" w:lineRule="auto"/>
            </w:pPr>
            <w:r/>
            <w:r>
              <w:rPr>
                <w:rFonts w:ascii="Calibri" w:hAnsi="Calibri"/>
                <w:b w:val="0"/>
                <w:sz w:val="18"/>
              </w:rPr>
              <w:t>How is this different from Moodle or a generic LMS?</w:t>
            </w:r>
          </w:p>
        </w:tc>
        <w:tc>
          <w:tcPr>
            <w:tcW w:type="dxa" w:w="6860"/>
          </w:tcPr>
          <w:p>
            <w:pPr>
              <w:spacing w:after="0" w:line="276" w:lineRule="auto"/>
            </w:pPr>
            <w:r/>
            <w:r>
              <w:rPr>
                <w:rFonts w:ascii="Calibri" w:hAnsi="Calibri"/>
                <w:b w:val="0"/>
                <w:sz w:val="18"/>
              </w:rPr>
              <w:t>The current prototype is shaped around aged-care operations: groups, teams, schedules, certificates, analytics, messages, and aged-care course flows, not just course pages.</w:t>
            </w:r>
          </w:p>
        </w:tc>
      </w:tr>
      <w:tr>
        <w:tc>
          <w:tcPr>
            <w:tcW w:type="dxa" w:w="2500"/>
          </w:tcPr>
          <w:p>
            <w:pPr>
              <w:spacing w:after="0" w:line="276" w:lineRule="auto"/>
            </w:pPr>
            <w:r/>
            <w:r>
              <w:rPr>
                <w:rFonts w:ascii="Calibri" w:hAnsi="Calibri"/>
                <w:b w:val="0"/>
                <w:sz w:val="18"/>
              </w:rPr>
              <w:t>Can it support mandatory training?</w:t>
            </w:r>
          </w:p>
        </w:tc>
        <w:tc>
          <w:tcPr>
            <w:tcW w:type="dxa" w:w="6860"/>
          </w:tcPr>
          <w:p>
            <w:pPr>
              <w:spacing w:after="0" w:line="276" w:lineRule="auto"/>
            </w:pPr>
            <w:r/>
            <w:r>
              <w:rPr>
                <w:rFonts w:ascii="Calibri" w:hAnsi="Calibri"/>
                <w:b w:val="0"/>
                <w:sz w:val="18"/>
              </w:rPr>
              <w:t>Yes. Admins can create courses, publish them, assign/enrol users, track progress, use quizzes, and issue certificates. Free internal courses can be shown as Enroll.</w:t>
            </w:r>
          </w:p>
        </w:tc>
      </w:tr>
      <w:tr>
        <w:tc>
          <w:tcPr>
            <w:tcW w:type="dxa" w:w="2500"/>
          </w:tcPr>
          <w:p>
            <w:pPr>
              <w:spacing w:after="0" w:line="276" w:lineRule="auto"/>
            </w:pPr>
            <w:r/>
            <w:r>
              <w:rPr>
                <w:rFonts w:ascii="Calibri" w:hAnsi="Calibri"/>
                <w:b w:val="0"/>
                <w:sz w:val="18"/>
              </w:rPr>
              <w:t>Can it work for multiple facilities?</w:t>
            </w:r>
          </w:p>
        </w:tc>
        <w:tc>
          <w:tcPr>
            <w:tcW w:type="dxa" w:w="6860"/>
          </w:tcPr>
          <w:p>
            <w:pPr>
              <w:spacing w:after="0" w:line="276" w:lineRule="auto"/>
            </w:pPr>
            <w:r/>
            <w:r>
              <w:rPr>
                <w:rFonts w:ascii="Calibri" w:hAnsi="Calibri"/>
                <w:b w:val="0"/>
                <w:sz w:val="18"/>
              </w:rPr>
              <w:t>The data model supports groups, teams, locations, team admins, and team course activity, which maps well to facility or region structures.</w:t>
            </w:r>
          </w:p>
        </w:tc>
      </w:tr>
      <w:tr>
        <w:tc>
          <w:tcPr>
            <w:tcW w:type="dxa" w:w="2500"/>
          </w:tcPr>
          <w:p>
            <w:pPr>
              <w:spacing w:after="0" w:line="276" w:lineRule="auto"/>
            </w:pPr>
            <w:r/>
            <w:r>
              <w:rPr>
                <w:rFonts w:ascii="Calibri" w:hAnsi="Calibri"/>
                <w:b w:val="0"/>
                <w:sz w:val="18"/>
              </w:rPr>
              <w:t>Does it support shift workers?</w:t>
            </w:r>
          </w:p>
        </w:tc>
        <w:tc>
          <w:tcPr>
            <w:tcW w:type="dxa" w:w="6860"/>
          </w:tcPr>
          <w:p>
            <w:pPr>
              <w:spacing w:after="0" w:line="276" w:lineRule="auto"/>
            </w:pPr>
            <w:r/>
            <w:r>
              <w:rPr>
                <w:rFonts w:ascii="Calibri" w:hAnsi="Calibri"/>
                <w:b w:val="0"/>
                <w:sz w:val="18"/>
              </w:rPr>
              <w:t>The learner schedule, upcoming tasks, and admin schedule assignment are designed for planning learning around work patterns.</w:t>
            </w:r>
          </w:p>
        </w:tc>
      </w:tr>
      <w:tr>
        <w:tc>
          <w:tcPr>
            <w:tcW w:type="dxa" w:w="2500"/>
          </w:tcPr>
          <w:p>
            <w:pPr>
              <w:spacing w:after="0" w:line="276" w:lineRule="auto"/>
            </w:pPr>
            <w:r/>
            <w:r>
              <w:rPr>
                <w:rFonts w:ascii="Calibri" w:hAnsi="Calibri"/>
                <w:b w:val="0"/>
                <w:sz w:val="18"/>
              </w:rPr>
              <w:t>Is it mobile-friendly?</w:t>
            </w:r>
          </w:p>
        </w:tc>
        <w:tc>
          <w:tcPr>
            <w:tcW w:type="dxa" w:w="6860"/>
          </w:tcPr>
          <w:p>
            <w:pPr>
              <w:spacing w:after="0" w:line="276" w:lineRule="auto"/>
            </w:pPr>
            <w:r/>
            <w:r>
              <w:rPr>
                <w:rFonts w:ascii="Calibri" w:hAnsi="Calibri"/>
                <w:b w:val="0"/>
                <w:sz w:val="18"/>
              </w:rPr>
              <w:t>The app was updated for smartphone responsiveness across home, auth, learner, and admin pages, including dashboard quick actions and summary cards.</w:t>
            </w:r>
          </w:p>
        </w:tc>
      </w:tr>
      <w:tr>
        <w:tc>
          <w:tcPr>
            <w:tcW w:type="dxa" w:w="2500"/>
          </w:tcPr>
          <w:p>
            <w:pPr>
              <w:spacing w:after="0" w:line="276" w:lineRule="auto"/>
            </w:pPr>
            <w:r/>
            <w:r>
              <w:rPr>
                <w:rFonts w:ascii="Calibri" w:hAnsi="Calibri"/>
                <w:b w:val="0"/>
                <w:sz w:val="18"/>
              </w:rPr>
              <w:t>What data can managers see?</w:t>
            </w:r>
          </w:p>
        </w:tc>
        <w:tc>
          <w:tcPr>
            <w:tcW w:type="dxa" w:w="6860"/>
          </w:tcPr>
          <w:p>
            <w:pPr>
              <w:spacing w:after="0" w:line="276" w:lineRule="auto"/>
            </w:pPr>
            <w:r/>
            <w:r>
              <w:rPr>
                <w:rFonts w:ascii="Calibri" w:hAnsi="Calibri"/>
                <w:b w:val="0"/>
                <w:sz w:val="18"/>
              </w:rPr>
              <w:t>Admins can see users, active learners, completion rates, quiz score averages, enrolment trends, popular courses, recent activity, and recent completions.</w:t>
            </w:r>
          </w:p>
        </w:tc>
      </w:tr>
      <w:tr>
        <w:tc>
          <w:tcPr>
            <w:tcW w:type="dxa" w:w="2500"/>
          </w:tcPr>
          <w:p>
            <w:pPr>
              <w:spacing w:after="0" w:line="276" w:lineRule="auto"/>
            </w:pPr>
            <w:r/>
            <w:r>
              <w:rPr>
                <w:rFonts w:ascii="Calibri" w:hAnsi="Calibri"/>
                <w:b w:val="0"/>
                <w:sz w:val="18"/>
              </w:rPr>
              <w:t>What is the tech stack?</w:t>
            </w:r>
          </w:p>
        </w:tc>
        <w:tc>
          <w:tcPr>
            <w:tcW w:type="dxa" w:w="6860"/>
          </w:tcPr>
          <w:p>
            <w:pPr>
              <w:spacing w:after="0" w:line="276" w:lineRule="auto"/>
            </w:pPr>
            <w:r/>
            <w:r>
              <w:rPr>
                <w:rFonts w:ascii="Calibri" w:hAnsi="Calibri"/>
                <w:b w:val="0"/>
                <w:sz w:val="18"/>
              </w:rPr>
              <w:t>React/TypeScript/Vite frontend, FastAPI/Python backend, SQLAlchemy models, JWT auth, PostgreSQL/Supabase support, and Supabase/local file storage.</w:t>
            </w:r>
          </w:p>
        </w:tc>
      </w:tr>
    </w:tbl>
    <w:p/>
    <w:p>
      <w:pPr>
        <w:pStyle w:val="Heading1"/>
      </w:pPr>
      <w:r>
        <w:t>10. Day-of Setup Checklist</w:t>
      </w:r>
    </w:p>
    <w:p>
      <w:pPr>
        <w:pStyle w:val="ListBullet"/>
      </w:pPr>
      <w:r>
        <w:t>Start backend at http://127.0.0.1:8000 and frontend at http://localhost:5173 before the expo session.</w:t>
      </w:r>
    </w:p>
    <w:p>
      <w:pPr>
        <w:pStyle w:val="ListBullet"/>
      </w:pPr>
      <w:r>
        <w:t>Log in once as admin and once as learner before visitors arrive to confirm credentials and browser state.</w:t>
      </w:r>
    </w:p>
    <w:p>
      <w:pPr>
        <w:pStyle w:val="ListBullet"/>
      </w:pPr>
      <w:r>
        <w:t>Prepare one published aged-care course with videos/PDFs, custom upload titles, quiz questions, duration, rating, and free/paid status.</w:t>
      </w:r>
    </w:p>
    <w:p>
      <w:pPr>
        <w:pStyle w:val="ListBullet"/>
      </w:pPr>
      <w:r>
        <w:t>Prepare one learner with enrolments, progress, at least one schedule event, messages, community access, and certificates.</w:t>
      </w:r>
    </w:p>
    <w:p>
      <w:pPr>
        <w:pStyle w:val="ListBullet"/>
      </w:pPr>
      <w:r>
        <w:t>Keep API docs at http://127.0.0.1:8000/docs ready if a technical reviewer asks for backend proof.</w:t>
      </w:r>
    </w:p>
    <w:p>
      <w:pPr>
        <w:pStyle w:val="ListBullet"/>
      </w:pPr>
      <w:r>
        <w:t>Have a fallback demo path: if creation fails live, show the seeded course, learner progress, schedule, certificate, and analytics views.</w:t>
      </w:r>
    </w:p>
    <w:p>
      <w:pPr>
        <w:pStyle w:val="ListBullet"/>
      </w:pPr>
      <w:r>
        <w:t>Avoid making certification or compliance claims stronger than the evidence. Say the system supports training evidence and workflow visibility.</w:t>
      </w:r>
    </w:p>
    <w:p>
      <w:pPr>
        <w:pStyle w:val="Heading1"/>
      </w:pPr>
      <w:r>
        <w:t>11. Closing Line</w:t>
      </w:r>
    </w:p>
    <w:tbl>
      <w:tblPr>
        <w:tblW w:type="dxa" w:w="9360"/>
        <w:jc w:val="left"/>
        <w:tblLayout w:type="fixed"/>
        <w:tblLook w:firstColumn="1" w:firstRow="1" w:lastColumn="0" w:lastRow="0" w:noHBand="0" w:noVBand="1" w:val="04A0"/>
        <w:tblInd w:w="120" w:type="dxa"/>
        <w:tblBorders>
          <w:top w:val="single" w:sz="4" w:space="0" w:color="B7D7C2"/>
          <w:left w:val="single" w:sz="4" w:space="0" w:color="B7D7C2"/>
          <w:bottom w:val="single" w:sz="4" w:space="0" w:color="B7D7C2"/>
          <w:right w:val="single" w:sz="4" w:space="0" w:color="B7D7C2"/>
          <w:insideH w:val="single" w:sz="4" w:space="0" w:color="B7D7C2"/>
          <w:insideV w:val="single" w:sz="4" w:space="0" w:color="B7D7C2"/>
        </w:tblBorders>
      </w:tblPr>
      <w:tblGrid>
        <w:gridCol w:w="9360"/>
      </w:tblGrid>
      <w:tr>
        <w:tc>
          <w:tcPr>
            <w:tcW w:type="dxa" w:w="9360"/>
            <w:tcMar>
              <w:top w:w="140" w:type="dxa"/>
              <w:bottom w:w="140" w:type="dxa"/>
              <w:start w:w="180" w:type="dxa"/>
              <w:end w:w="180" w:type="dxa"/>
            </w:tcMar>
            <w:vAlign w:val="center"/>
            <w:shd w:fill="EAF6F0"/>
          </w:tcPr>
          <w:p>
            <w:pPr>
              <w:spacing w:after="60"/>
            </w:pPr>
            <w:r>
              <w:rPr>
                <w:rFonts w:ascii="Calibri" w:hAnsi="Calibri"/>
                <w:b/>
                <w:color w:val="1F4D78"/>
                <w:sz w:val="22"/>
              </w:rPr>
              <w:t>Use this close</w:t>
            </w:r>
          </w:p>
          <w:p>
            <w:pPr>
              <w:spacing w:after="0"/>
            </w:pPr>
            <w:r>
              <w:rPr>
                <w:rFonts w:ascii="Calibri" w:hAnsi="Calibri"/>
                <w:sz w:val="21"/>
              </w:rPr>
              <w:t>MedSphere is our attempt to make aged-care learning less fragmented: workers get a clear place to learn, plan, ask questions, and prove completion; managers get visibility into training progress, teams, certificates, and course performance.</w:t>
            </w:r>
          </w:p>
        </w:tc>
      </w:tr>
    </w:tbl>
    <w:p/>
    <w:p>
      <w:pPr>
        <w:pStyle w:val="Heading1"/>
      </w:pPr>
      <w:r>
        <w:t>12. Sources and Code Evidence</w:t>
      </w:r>
    </w:p>
    <w:p>
      <w:pPr>
        <w:pStyle w:val="Heading2"/>
      </w:pPr>
      <w:r>
        <w:t>Code evidence reviewed</w:t>
      </w:r>
    </w:p>
    <w:p>
      <w:pPr>
        <w:pStyle w:val="ListBullet"/>
      </w:pPr>
      <w:r>
        <w:t>backend/main.py: FastAPI routes for auth, courses, enrolments, quizzes, schedules, certificates, admin analytics, messages, community, notifications, and settings.</w:t>
      </w:r>
    </w:p>
    <w:p>
      <w:pPr>
        <w:pStyle w:val="ListBullet"/>
      </w:pPr>
      <w:r>
        <w:t>backend/models.py and schemas.py: database and API data structures.</w:t>
      </w:r>
    </w:p>
    <w:p>
      <w:pPr>
        <w:pStyle w:val="ListBullet"/>
      </w:pPr>
      <w:r>
        <w:t>backend/auth.py, database.py, storage.py: security, database connection, Supabase/local upload support.</w:t>
      </w:r>
    </w:p>
    <w:p>
      <w:pPr>
        <w:pStyle w:val="ListBullet"/>
      </w:pPr>
      <w:r>
        <w:t>src/lib/api.ts: frontend API surface.</w:t>
      </w:r>
    </w:p>
    <w:p>
      <w:pPr>
        <w:pStyle w:val="ListBullet"/>
      </w:pPr>
      <w:r>
        <w:t>src/app/pages and src/app/pages/admin: learner and admin portal pages.</w:t>
      </w:r>
    </w:p>
    <w:p>
      <w:pPr>
        <w:pStyle w:val="ListBullet"/>
      </w:pPr>
      <w:r>
        <w:t>backend/seed_marketing.py: aged-care demo users, groups, teams, courses, schedules, certificates, messages, and community data.</w:t>
      </w:r>
    </w:p>
    <w:p>
      <w:pPr>
        <w:pStyle w:val="Heading2"/>
      </w:pPr>
      <w:r>
        <w:t>Australian aged-care context references</w:t>
      </w:r>
    </w:p>
    <w:p>
      <w:pPr>
        <w:pStyle w:val="ListBullet"/>
      </w:pPr>
      <w:r>
        <w:t>Aged Care Quality and Safety Commission: Strengthened Aged Care Quality Standards, provider and worker guidance.</w:t>
      </w:r>
    </w:p>
    <w:p>
      <w:pPr>
        <w:pStyle w:val="ListBullet"/>
      </w:pPr>
      <w:r>
        <w:t>Aged Care Quality and Safety Commission: workforce responsibilities and workforce planning guidance.</w:t>
      </w:r>
    </w:p>
    <w:p>
      <w:pPr>
        <w:pStyle w:val="ListBullet"/>
      </w:pPr>
      <w:r>
        <w:t>Australian Government Department of Health, Disability and Ageing: aged-care digital reform and data/digital strategy for providers and workers.</w:t>
      </w:r>
    </w:p>
    <w:p>
      <w:pPr>
        <w:pStyle w:val="ListBullet"/>
      </w:pPr>
      <w:r>
        <w:t>Australian Government Department of Health, Disability and Ageing: aged-care workforce learning and development resources.</w:t>
      </w:r>
    </w:p>
    <w:p>
      <w:r>
        <w:t>Reference URLs: https://www.agedcarequality.gov.au/providers/quality-standards/strengthened-aged-care-quality-standards | https://www.agedcarequality.gov.au/providers/workforce-responsibilities/about-workforce-responsibilities | https://www.agedcarequality.gov.au/strengthened-quality-standards/organisation/workforce-planning | https://www.health.gov.au/our-work/aged-care-reforms/aged-care-digital-reform | https://www.health.gov.au/our-work/aged-care-data-and-digital-strategy/for-providers-workers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MedSphere LMS | Tech Expo Guide | Code-assessed aged-care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