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FFDFA" w14:textId="37DAC45D" w:rsidR="00EB5A6B" w:rsidRPr="00EB5A6B" w:rsidRDefault="00EB5A6B" w:rsidP="00EB5A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EB5A6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Client Meeting Notes Project Stage 1</w:t>
      </w:r>
    </w:p>
    <w:p w14:paraId="784F3AC8" w14:textId="77777777" w:rsidR="00EB5A6B" w:rsidRPr="00EB5A6B" w:rsidRDefault="00EB5A6B" w:rsidP="00EB5A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Project Focus</w:t>
      </w:r>
    </w:p>
    <w:p w14:paraId="128EF821" w14:textId="77777777" w:rsidR="00EB5A6B" w:rsidRPr="00EB5A6B" w:rsidRDefault="00EB5A6B" w:rsidP="00EB5A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Begin with data exploration and visualization, creating initial plots to observe patterns across genes.</w:t>
      </w:r>
    </w:p>
    <w:p w14:paraId="11D1CC01" w14:textId="77777777" w:rsidR="00EB5A6B" w:rsidRPr="00EB5A6B" w:rsidRDefault="00EB5A6B" w:rsidP="00EB5A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Investigate differences in transcription factor binding sites, with special attention to human-specific patterns.</w:t>
      </w:r>
    </w:p>
    <w:p w14:paraId="388BF6D0" w14:textId="77777777" w:rsidR="00EB5A6B" w:rsidRPr="00EB5A6B" w:rsidRDefault="00EB5A6B" w:rsidP="00EB5A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Explore complex traits, particularly:</w:t>
      </w:r>
    </w:p>
    <w:p w14:paraId="6C886918" w14:textId="77777777" w:rsidR="00EB5A6B" w:rsidRPr="00EB5A6B" w:rsidRDefault="00EB5A6B" w:rsidP="00EB5A6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Human-specific genes and their variability.</w:t>
      </w:r>
    </w:p>
    <w:p w14:paraId="4834AE43" w14:textId="77777777" w:rsidR="00EB5A6B" w:rsidRPr="00EB5A6B" w:rsidRDefault="00EB5A6B" w:rsidP="00EB5A6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Stress responses in complex genomic regions.</w:t>
      </w:r>
    </w:p>
    <w:p w14:paraId="280E1370" w14:textId="77777777" w:rsidR="00EB5A6B" w:rsidRPr="00EB5A6B" w:rsidRDefault="00EB5A6B" w:rsidP="00EB5A6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Traits like alcohol response (strong signal in humans), BMI (broader pattern across species), and inflammation (likely associated with conserved enhancers).</w:t>
      </w:r>
    </w:p>
    <w:p w14:paraId="3F0C7406" w14:textId="77777777" w:rsidR="00EB5A6B" w:rsidRPr="00EB5A6B" w:rsidRDefault="00EB5A6B" w:rsidP="00EB5A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Data Sources</w:t>
      </w:r>
    </w:p>
    <w:p w14:paraId="5BCBD6D4" w14:textId="77777777" w:rsidR="00EB5A6B" w:rsidRPr="00EB5A6B" w:rsidRDefault="00EB5A6B" w:rsidP="00EB5A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ENCODE – expected to be the most useful.</w:t>
      </w:r>
    </w:p>
    <w:p w14:paraId="35FD7C40" w14:textId="77777777" w:rsidR="00EB5A6B" w:rsidRPr="00EB5A6B" w:rsidRDefault="00EB5A6B" w:rsidP="00EB5A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Gene Expression Omnibus (GEO) – provides raw datasets, as noted in related research papers.</w:t>
      </w:r>
    </w:p>
    <w:p w14:paraId="5894790B" w14:textId="77777777" w:rsidR="00EB5A6B" w:rsidRPr="00EB5A6B" w:rsidRDefault="00EB5A6B" w:rsidP="00EB5A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Other potential databases can be explored if needed.</w:t>
      </w:r>
    </w:p>
    <w:p w14:paraId="52F47403" w14:textId="77777777" w:rsidR="00EB5A6B" w:rsidRPr="00EB5A6B" w:rsidRDefault="00EB5A6B" w:rsidP="00EB5A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Data Analysis Approach</w:t>
      </w:r>
    </w:p>
    <w:p w14:paraId="071368D7" w14:textId="77777777" w:rsidR="00EB5A6B" w:rsidRPr="00EB5A6B" w:rsidRDefault="00EB5A6B" w:rsidP="00EB5A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Start with gene-level analysis using databases and command-line tools.</w:t>
      </w:r>
    </w:p>
    <w:p w14:paraId="0EA9BA1A" w14:textId="77777777" w:rsidR="00EB5A6B" w:rsidRPr="00EB5A6B" w:rsidRDefault="00EB5A6B" w:rsidP="00EB5A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Consider building a visualization tool with:</w:t>
      </w:r>
    </w:p>
    <w:p w14:paraId="2055418D" w14:textId="77777777" w:rsidR="00EB5A6B" w:rsidRPr="00EB5A6B" w:rsidRDefault="00EB5A6B" w:rsidP="00EB5A6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Options to select species individually or compare groups.</w:t>
      </w:r>
    </w:p>
    <w:p w14:paraId="01C08A5B" w14:textId="77777777" w:rsidR="00EB5A6B" w:rsidRPr="00EB5A6B" w:rsidRDefault="00EB5A6B" w:rsidP="00EB5A6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A search feature to look up specific enhancers by coordinates (chromosome, start, end positions) or by gene name (then display associated enhancers nearby).</w:t>
      </w:r>
    </w:p>
    <w:p w14:paraId="52886726" w14:textId="77777777" w:rsidR="00EB5A6B" w:rsidRPr="00EB5A6B" w:rsidRDefault="00EB5A6B" w:rsidP="00EB5A6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A genome browser-like interface that uses a coordinate system along chromosomes, with boxes representing genes and enhancers, and the ability to scroll/drag through regions.</w:t>
      </w:r>
    </w:p>
    <w:p w14:paraId="55EA0F72" w14:textId="77777777" w:rsidR="00EB5A6B" w:rsidRPr="00EB5A6B" w:rsidRDefault="00EB5A6B" w:rsidP="00EB5A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Early sprints:</w:t>
      </w:r>
    </w:p>
    <w:p w14:paraId="0F5F75D0" w14:textId="77777777" w:rsidR="00EB5A6B" w:rsidRPr="00EB5A6B" w:rsidRDefault="00EB5A6B" w:rsidP="00EB5A6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Begin with static visualizations (e.g., cached images of certain genomic regions).</w:t>
      </w:r>
    </w:p>
    <w:p w14:paraId="5C376788" w14:textId="77777777" w:rsidR="00EB5A6B" w:rsidRPr="00EB5A6B" w:rsidRDefault="00EB5A6B" w:rsidP="00EB5A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Later sprints:</w:t>
      </w:r>
    </w:p>
    <w:p w14:paraId="548BA45F" w14:textId="77777777" w:rsidR="00EB5A6B" w:rsidRPr="00EB5A6B" w:rsidRDefault="00EB5A6B" w:rsidP="00EB5A6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Add dynamic interactivity (e.g., live navigation, multiple species as separate layers, optional search tools).</w:t>
      </w:r>
    </w:p>
    <w:p w14:paraId="0C2DB3CC" w14:textId="77777777" w:rsidR="00EB5A6B" w:rsidRPr="00EB5A6B" w:rsidRDefault="00EB5A6B" w:rsidP="00EB5A6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Potential extensions: integrate disease-associated gene data or variant data (e.g., GWAS), and perform enrichment or heritability analyses to highlight biological insights.</w:t>
      </w:r>
    </w:p>
    <w:p w14:paraId="50574012" w14:textId="77777777" w:rsidR="00EB5A6B" w:rsidRPr="00EB5A6B" w:rsidRDefault="00EB5A6B" w:rsidP="00EB5A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Technical Considerations</w:t>
      </w:r>
    </w:p>
    <w:p w14:paraId="3E41DDC3" w14:textId="77777777" w:rsidR="00EB5A6B" w:rsidRPr="00EB5A6B" w:rsidRDefault="00EB5A6B" w:rsidP="00EB5A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Avoid loading the entire dataset at once to prevent performance issues.</w:t>
      </w:r>
    </w:p>
    <w:p w14:paraId="7FE558E7" w14:textId="77777777" w:rsidR="00EB5A6B" w:rsidRPr="00EB5A6B" w:rsidRDefault="00EB5A6B" w:rsidP="00EB5A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Consider implementing caching and selective loading (by region, species, or data type).</w:t>
      </w:r>
    </w:p>
    <w:p w14:paraId="1C9098AC" w14:textId="77777777" w:rsidR="00EB5A6B" w:rsidRPr="00EB5A6B" w:rsidRDefault="00EB5A6B" w:rsidP="00EB5A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A user login system may not be necessary unless you want to support saving progress or downloadable results.</w:t>
      </w:r>
    </w:p>
    <w:p w14:paraId="723DB09C" w14:textId="77777777" w:rsidR="00EB5A6B" w:rsidRPr="00EB5A6B" w:rsidRDefault="00EB5A6B" w:rsidP="00EB5A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Reference Tools</w:t>
      </w:r>
    </w:p>
    <w:p w14:paraId="43AD3E5E" w14:textId="77777777" w:rsidR="00EB5A6B" w:rsidRPr="00EB5A6B" w:rsidRDefault="00EB5A6B" w:rsidP="00EB5A6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Enhancer Genie (developed by a previous capstone team) is available on the Baylor network.</w:t>
      </w:r>
    </w:p>
    <w:p w14:paraId="683E72FD" w14:textId="77777777" w:rsidR="00EB5A6B" w:rsidRPr="00EB5A6B" w:rsidRDefault="00EB5A6B" w:rsidP="00EB5A6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It connects enhancers to genes using various algorithms.</w:t>
      </w:r>
    </w:p>
    <w:p w14:paraId="3ECE41C1" w14:textId="77777777" w:rsidR="00EB5A6B" w:rsidRPr="00EB5A6B" w:rsidRDefault="00EB5A6B" w:rsidP="00EB5A6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Users can upload enhancer coordinates and receive gene–enhancer interaction files.</w:t>
      </w:r>
    </w:p>
    <w:p w14:paraId="09BD6DE5" w14:textId="77777777" w:rsidR="00EB5A6B" w:rsidRPr="00EB5A6B" w:rsidRDefault="00EB5A6B" w:rsidP="00EB5A6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Includes an “interaction checker” feature for verifying specific enhancer–gene pairs.</w:t>
      </w:r>
    </w:p>
    <w:p w14:paraId="432DA96E" w14:textId="77777777" w:rsidR="00EB5A6B" w:rsidRPr="00EB5A6B" w:rsidRDefault="00EB5A6B" w:rsidP="00EB5A6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Currently accessible only on the Baylor firewall; professor is working to restore external access.</w:t>
      </w:r>
    </w:p>
    <w:p w14:paraId="49C9C67D" w14:textId="77777777" w:rsidR="00EB5A6B" w:rsidRPr="00EB5A6B" w:rsidRDefault="00EB5A6B" w:rsidP="00EB5A6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B5A6B">
        <w:rPr>
          <w:rFonts w:ascii="Times New Roman" w:eastAsia="Times New Roman" w:hAnsi="Times New Roman" w:cs="Times New Roman"/>
          <w:kern w:val="0"/>
          <w14:ligatures w14:val="none"/>
        </w:rPr>
        <w:t>This tool can serve as inspiration for your visualization design.</w:t>
      </w:r>
    </w:p>
    <w:p w14:paraId="35140C85" w14:textId="3D9F14C5" w:rsidR="001514BC" w:rsidRPr="00EB5A6B" w:rsidRDefault="001514BC" w:rsidP="001514BC">
      <w:pPr>
        <w:pStyle w:val="ListParagraph"/>
        <w:numPr>
          <w:ilvl w:val="0"/>
          <w:numId w:val="1"/>
        </w:numPr>
      </w:pPr>
    </w:p>
    <w:sectPr w:rsidR="001514BC" w:rsidRPr="00EB5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5861"/>
    <w:multiLevelType w:val="multilevel"/>
    <w:tmpl w:val="888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0841"/>
    <w:multiLevelType w:val="multilevel"/>
    <w:tmpl w:val="A586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461B1"/>
    <w:multiLevelType w:val="hybridMultilevel"/>
    <w:tmpl w:val="82C07C56"/>
    <w:lvl w:ilvl="0" w:tplc="B08678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B2E0D"/>
    <w:multiLevelType w:val="multilevel"/>
    <w:tmpl w:val="B4D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F60C4"/>
    <w:multiLevelType w:val="multilevel"/>
    <w:tmpl w:val="121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821FF"/>
    <w:multiLevelType w:val="multilevel"/>
    <w:tmpl w:val="B8A0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2782A"/>
    <w:multiLevelType w:val="multilevel"/>
    <w:tmpl w:val="807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B3065"/>
    <w:multiLevelType w:val="multilevel"/>
    <w:tmpl w:val="A37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B77C2"/>
    <w:multiLevelType w:val="multilevel"/>
    <w:tmpl w:val="265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31074"/>
    <w:multiLevelType w:val="multilevel"/>
    <w:tmpl w:val="C64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25424"/>
    <w:multiLevelType w:val="multilevel"/>
    <w:tmpl w:val="7456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649386">
    <w:abstractNumId w:val="2"/>
  </w:num>
  <w:num w:numId="2" w16cid:durableId="866021610">
    <w:abstractNumId w:val="7"/>
  </w:num>
  <w:num w:numId="3" w16cid:durableId="376664559">
    <w:abstractNumId w:val="3"/>
  </w:num>
  <w:num w:numId="4" w16cid:durableId="926580083">
    <w:abstractNumId w:val="9"/>
  </w:num>
  <w:num w:numId="5" w16cid:durableId="2007978265">
    <w:abstractNumId w:val="5"/>
  </w:num>
  <w:num w:numId="6" w16cid:durableId="1859536398">
    <w:abstractNumId w:val="1"/>
  </w:num>
  <w:num w:numId="7" w16cid:durableId="584581372">
    <w:abstractNumId w:val="4"/>
  </w:num>
  <w:num w:numId="8" w16cid:durableId="1662391489">
    <w:abstractNumId w:val="6"/>
  </w:num>
  <w:num w:numId="9" w16cid:durableId="1893420630">
    <w:abstractNumId w:val="8"/>
  </w:num>
  <w:num w:numId="10" w16cid:durableId="1975207418">
    <w:abstractNumId w:val="0"/>
  </w:num>
  <w:num w:numId="11" w16cid:durableId="10506891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10"/>
    <w:rsid w:val="00000210"/>
    <w:rsid w:val="00114E62"/>
    <w:rsid w:val="001514BC"/>
    <w:rsid w:val="001C7FF0"/>
    <w:rsid w:val="00AE2359"/>
    <w:rsid w:val="00EB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B6D2D"/>
  <w15:chartTrackingRefBased/>
  <w15:docId w15:val="{CDEFECD0-C816-E24E-99DE-C156FBDA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5A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B5A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02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5A6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B5A6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5A6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5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Davi, Tiya</dc:creator>
  <cp:keywords/>
  <dc:description/>
  <cp:lastModifiedBy>Davi, Tiya</cp:lastModifiedBy>
  <cp:revision>2</cp:revision>
  <dcterms:created xsi:type="dcterms:W3CDTF">2025-09-15T01:03:00Z</dcterms:created>
  <dcterms:modified xsi:type="dcterms:W3CDTF">2025-09-15T01:03:00Z</dcterms:modified>
</cp:coreProperties>
</file>