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YING YAO</w:t>
      </w:r>
    </w:p>
    <w:p>
      <w:pPr>
        <w:jc w:val="center"/>
      </w:pPr>
      <w:r>
        <w:rPr>
          <w:sz w:val="18"/>
        </w:rPr>
        <w:t>Hangzhou, China  |  +86-19357660781  |  yyao374@gatech.edu  |  arxiv.org/abs/2604.03768</w:t>
      </w:r>
    </w:p>
    <w:p>
      <w:pPr>
        <w:spacing w:before="160" w:after="40"/>
        <w:pBdr>
          <w:bottom w:val="single" w:sz="6" w:space="1" w:color="225C99"/>
        </w:pBdr>
      </w:pPr>
      <w:r>
        <w:rPr>
          <w:b/>
          <w:color w:val="225C99"/>
          <w:sz w:val="22"/>
        </w:rPr>
        <w:t>SUMMARY</w:t>
      </w:r>
    </w:p>
    <w:p>
      <w:pPr>
        <w:spacing w:before="40" w:after="40"/>
      </w:pPr>
      <w:r>
        <w:rPr>
          <w:sz w:val="19"/>
        </w:rPr>
        <w:t>ML engineer with 10 years of experience across data science, machine learning, and AIOps, actively transitioning into AI engineering with a focus on LLM applications and agentic AI systems. Hands-on experience productizing ML systems at scale, with recent applied work in multi-agent AI workflows. NVIDIA-certified in Agentic AI and LLM development. Published RL researcher (arXiv 2025). M.S. Computer Science, Georgia Institute of Technology (2026). Seeking AI Engineer / LLM Engineer roles in agent application and post-training domains.</w:t>
      </w:r>
    </w:p>
    <w:p>
      <w:pPr>
        <w:spacing w:before="160" w:after="40"/>
        <w:pBdr>
          <w:bottom w:val="single" w:sz="6" w:space="1" w:color="225C99"/>
        </w:pBdr>
      </w:pPr>
      <w:r>
        <w:rPr>
          <w:b/>
          <w:color w:val="225C99"/>
          <w:sz w:val="22"/>
        </w:rPr>
        <w:t>TECHNICAL SKILLS</w:t>
      </w:r>
    </w:p>
    <w:p>
      <w:pPr>
        <w:spacing w:before="20" w:after="20"/>
      </w:pPr>
      <w:r>
        <w:rPr>
          <w:b/>
          <w:sz w:val="19"/>
        </w:rPr>
        <w:t xml:space="preserve">AI/ML: </w:t>
      </w:r>
      <w:r>
        <w:rPr>
          <w:sz w:val="19"/>
        </w:rPr>
        <w:t>LLM fine-tuning, RLHF, PPO, Reinforcement Learning, Anomaly Detection, Time Series Forecasting, Computer Vision</w:t>
      </w:r>
    </w:p>
    <w:p>
      <w:pPr>
        <w:spacing w:before="20" w:after="20"/>
      </w:pPr>
      <w:r>
        <w:rPr>
          <w:b/>
          <w:sz w:val="19"/>
        </w:rPr>
        <w:t xml:space="preserve">Frameworks: </w:t>
      </w:r>
      <w:r>
        <w:rPr>
          <w:sz w:val="19"/>
        </w:rPr>
        <w:t>PyTorch, Stable-Baselines3, LangChain, Hugging Face, Scikit-learn, XGBoost</w:t>
      </w:r>
    </w:p>
    <w:p>
      <w:pPr>
        <w:spacing w:before="20" w:after="20"/>
      </w:pPr>
      <w:r>
        <w:rPr>
          <w:b/>
          <w:sz w:val="19"/>
        </w:rPr>
        <w:t xml:space="preserve">Engineering: </w:t>
      </w:r>
      <w:r>
        <w:rPr>
          <w:sz w:val="19"/>
        </w:rPr>
        <w:t>Python, Spark, Kubernetes, Jenkins, Git, Docker</w:t>
      </w:r>
    </w:p>
    <w:p>
      <w:pPr>
        <w:spacing w:before="20" w:after="20"/>
      </w:pPr>
      <w:r>
        <w:rPr>
          <w:b/>
          <w:sz w:val="19"/>
        </w:rPr>
        <w:t xml:space="preserve">Cloud &amp; Infra: </w:t>
      </w:r>
      <w:r>
        <w:rPr>
          <w:sz w:val="19"/>
        </w:rPr>
        <w:t>AWS, distributed systems, model serving</w:t>
      </w:r>
    </w:p>
    <w:p>
      <w:pPr>
        <w:spacing w:before="160" w:after="40"/>
        <w:pBdr>
          <w:bottom w:val="single" w:sz="6" w:space="1" w:color="225C99"/>
        </w:pBdr>
      </w:pPr>
      <w:r>
        <w:rPr>
          <w:b/>
          <w:color w:val="225C99"/>
          <w:sz w:val="22"/>
        </w:rPr>
        <w:t>WORK EXPERIENCE</w:t>
      </w:r>
    </w:p>
    <w:p>
      <w:pPr>
        <w:spacing w:before="120" w:after="20"/>
      </w:pPr>
      <w:r>
        <w:rPr>
          <w:b/>
          <w:sz w:val="20"/>
        </w:rPr>
        <w:t>Machine Learning Engineer — Zoom, Hangzhou</w:t>
      </w:r>
    </w:p>
    <w:p>
      <w:pPr>
        <w:spacing w:before="0" w:after="40"/>
      </w:pPr>
      <w:r>
        <w:rPr>
          <w:i/>
          <w:color w:val="666666"/>
          <w:sz w:val="18"/>
        </w:rPr>
        <w:t>Dec 2021 – Dec 2025</w:t>
      </w:r>
    </w:p>
    <w:p>
      <w:pPr>
        <w:pStyle w:val="ListBullet"/>
        <w:spacing w:before="20" w:after="20"/>
      </w:pPr>
      <w:r>
        <w:rPr>
          <w:sz w:val="19"/>
        </w:rPr>
        <w:t>Participated in team AI transformation initiative using company internal AI hub platform (with native multi-agent support), contributing to root cause analysis workflows under ReAct-style agentic orchestration</w:t>
      </w:r>
    </w:p>
    <w:p>
      <w:pPr>
        <w:pStyle w:val="ListBullet"/>
        <w:spacing w:before="20" w:after="20"/>
      </w:pPr>
      <w:r>
        <w:rPr>
          <w:sz w:val="19"/>
        </w:rPr>
        <w:t>Productized end-to-end anomaly detection system for time series from scratch, covering 80+ internal services and 500+ monitors; achieved 1/9 the cost of equivalent AWS monitoring service</w:t>
      </w:r>
    </w:p>
    <w:p>
      <w:pPr>
        <w:pStyle w:val="ListBullet"/>
        <w:spacing w:before="20" w:after="20"/>
      </w:pPr>
      <w:r>
        <w:rPr>
          <w:sz w:val="19"/>
        </w:rPr>
        <w:t>Developed coarse-grained root cause analyzer combining ML and engineering techniques for alarm clustering/compression, service map reconstruction, and service-level root cause analysis in AIOps domain</w:t>
      </w:r>
    </w:p>
    <w:p>
      <w:pPr>
        <w:pStyle w:val="ListBullet"/>
        <w:spacing w:before="20" w:after="20"/>
      </w:pPr>
      <w:r>
        <w:rPr>
          <w:sz w:val="19"/>
        </w:rPr>
        <w:t>Mentored new graduate engineers through onboarding and technical ramp-up</w:t>
      </w:r>
    </w:p>
    <w:p>
      <w:pPr>
        <w:spacing w:before="120" w:after="20"/>
      </w:pPr>
      <w:r>
        <w:rPr>
          <w:b/>
          <w:sz w:val="20"/>
        </w:rPr>
        <w:t>Data Scientist — BluWave-ai, Ottawa</w:t>
      </w:r>
    </w:p>
    <w:p>
      <w:pPr>
        <w:spacing w:before="0" w:after="40"/>
      </w:pPr>
      <w:r>
        <w:rPr>
          <w:i/>
          <w:color w:val="666666"/>
          <w:sz w:val="18"/>
        </w:rPr>
        <w:t>Mar 2019 – May 2021</w:t>
      </w:r>
    </w:p>
    <w:p>
      <w:pPr>
        <w:pStyle w:val="ListBullet"/>
        <w:spacing w:before="20" w:after="20"/>
      </w:pPr>
      <w:r>
        <w:rPr>
          <w:sz w:val="19"/>
        </w:rPr>
        <w:t>Applied ML techniques (clustering, neural networks, gradient boosting, ensemble methods) for energy time series forecasting across wind, load, and solar domains</w:t>
      </w:r>
    </w:p>
    <w:p>
      <w:pPr>
        <w:pStyle w:val="ListBullet"/>
        <w:spacing w:before="20" w:after="20"/>
      </w:pPr>
      <w:r>
        <w:rPr>
          <w:sz w:val="19"/>
        </w:rPr>
        <w:t>Led energy and price forecasting project delivering $120K+ annual recurring revenue for a municipal client in PEI</w:t>
      </w:r>
    </w:p>
    <w:p>
      <w:pPr>
        <w:pStyle w:val="ListBullet"/>
        <w:spacing w:before="20" w:after="20"/>
      </w:pPr>
      <w:r>
        <w:rPr>
          <w:sz w:val="19"/>
        </w:rPr>
        <w:t>Handled end-to-end data pipelines including multi-source preprocessing and feature engineering</w:t>
      </w:r>
    </w:p>
    <w:p>
      <w:pPr>
        <w:spacing w:before="120" w:after="20"/>
      </w:pPr>
      <w:r>
        <w:rPr>
          <w:b/>
          <w:sz w:val="20"/>
        </w:rPr>
        <w:t>Research Associate — Carleton University (CQADS), Ottawa</w:t>
      </w:r>
    </w:p>
    <w:p>
      <w:pPr>
        <w:spacing w:before="0" w:after="40"/>
      </w:pPr>
      <w:r>
        <w:rPr>
          <w:i/>
          <w:color w:val="666666"/>
          <w:sz w:val="18"/>
        </w:rPr>
        <w:t>Aug 2018 – Mar 2019</w:t>
      </w:r>
    </w:p>
    <w:p>
      <w:pPr>
        <w:pStyle w:val="ListBullet"/>
        <w:spacing w:before="20" w:after="20"/>
      </w:pPr>
      <w:r>
        <w:rPr>
          <w:sz w:val="19"/>
        </w:rPr>
        <w:t>Delivered 2 end-to-end data science projects: time series forecasting, web scraping, computer vision, and content-based recommendation engine</w:t>
      </w:r>
    </w:p>
    <w:p>
      <w:pPr>
        <w:pStyle w:val="ListBullet"/>
        <w:spacing w:before="20" w:after="20"/>
      </w:pPr>
      <w:r>
        <w:rPr>
          <w:sz w:val="19"/>
        </w:rPr>
        <w:t>Supported CQADS in building project pipelines and workshop materials for federal government and banking sector clients</w:t>
      </w:r>
    </w:p>
    <w:p>
      <w:pPr>
        <w:spacing w:before="120" w:after="20"/>
      </w:pPr>
      <w:r>
        <w:rPr>
          <w:b/>
          <w:sz w:val="20"/>
        </w:rPr>
        <w:t>BI &amp; Reporting Analyst II — TD Bank Group, Ottawa</w:t>
      </w:r>
    </w:p>
    <w:p>
      <w:pPr>
        <w:spacing w:before="0" w:after="40"/>
      </w:pPr>
      <w:r>
        <w:rPr>
          <w:i/>
          <w:color w:val="666666"/>
          <w:sz w:val="18"/>
        </w:rPr>
        <w:t>Mar 2016 – Jun 2018</w:t>
      </w:r>
    </w:p>
    <w:p>
      <w:pPr>
        <w:pStyle w:val="ListBullet"/>
        <w:spacing w:before="20" w:after="20"/>
      </w:pPr>
      <w:r>
        <w:rPr>
          <w:sz w:val="19"/>
        </w:rPr>
        <w:t>Designed and maintained 10+ daily and monthly performance dashboards</w:t>
      </w:r>
    </w:p>
    <w:p>
      <w:pPr>
        <w:pStyle w:val="ListBullet"/>
        <w:spacing w:before="20" w:after="20"/>
      </w:pPr>
      <w:r>
        <w:rPr>
          <w:sz w:val="19"/>
        </w:rPr>
        <w:t>Reduced reporting time by 30%+ through data pipeline automation using SAS, Excel VBA, and SQL</w:t>
      </w:r>
    </w:p>
    <w:p>
      <w:pPr>
        <w:spacing w:before="160" w:after="40"/>
        <w:pBdr>
          <w:bottom w:val="single" w:sz="6" w:space="1" w:color="225C99"/>
        </w:pBdr>
      </w:pPr>
      <w:r>
        <w:rPr>
          <w:b/>
          <w:color w:val="225C99"/>
          <w:sz w:val="22"/>
        </w:rPr>
        <w:t>EDUCATION</w:t>
      </w:r>
    </w:p>
    <w:p>
      <w:pPr>
        <w:spacing w:before="40" w:after="40"/>
      </w:pPr>
      <w:r>
        <w:rPr>
          <w:sz w:val="19"/>
        </w:rPr>
        <w:t>M.S. Computer Science — Georgia Institute of Technology, USA  (Sep 2021 – Apr 2026)</w:t>
      </w:r>
    </w:p>
    <w:p>
      <w:pPr>
        <w:spacing w:before="40" w:after="40"/>
      </w:pPr>
      <w:r>
        <w:rPr>
          <w:sz w:val="19"/>
        </w:rPr>
        <w:t>M.S. Probability and Statistics — Carleton University, Canada  (Jan 2014 – Dec 2015)</w:t>
      </w:r>
    </w:p>
    <w:p>
      <w:pPr>
        <w:spacing w:before="40" w:after="40"/>
      </w:pPr>
      <w:r>
        <w:rPr>
          <w:sz w:val="19"/>
        </w:rPr>
        <w:t>B.S. Applied Mathematics — Shandong Normal University, China  (Sep 2009 – Jun 2013)</w:t>
      </w:r>
    </w:p>
    <w:p>
      <w:pPr>
        <w:spacing w:before="160" w:after="40"/>
        <w:pBdr>
          <w:bottom w:val="single" w:sz="6" w:space="1" w:color="225C99"/>
        </w:pBdr>
      </w:pPr>
      <w:r>
        <w:rPr>
          <w:b/>
          <w:color w:val="225C99"/>
          <w:sz w:val="22"/>
        </w:rPr>
        <w:t>PUBLICATIONS</w:t>
      </w:r>
    </w:p>
    <w:p>
      <w:pPr>
        <w:spacing w:before="40" w:after="40"/>
      </w:pPr>
      <w:r>
        <w:rPr>
          <w:sz w:val="19"/>
        </w:rPr>
        <w:t>Ying Yao. "RL-Driven Sustainable Land-Use Allocation for the Lake Malawi Basin." arXiv preprint arXiv:2604.03768, 2025. Targeting CCAI @ NeurIPS 2026 Workshop submission.</w:t>
      </w:r>
    </w:p>
    <w:p>
      <w:pPr>
        <w:spacing w:before="160" w:after="40"/>
        <w:pBdr>
          <w:bottom w:val="single" w:sz="6" w:space="1" w:color="225C99"/>
        </w:pBdr>
      </w:pPr>
      <w:r>
        <w:rPr>
          <w:b/>
          <w:color w:val="225C99"/>
          <w:sz w:val="22"/>
        </w:rPr>
        <w:t>CERTIFICATIONS</w:t>
      </w:r>
    </w:p>
    <w:p>
      <w:pPr>
        <w:pStyle w:val="ListBullet"/>
        <w:spacing w:before="20" w:after="20"/>
      </w:pPr>
      <w:r>
        <w:rPr>
          <w:sz w:val="19"/>
        </w:rPr>
        <w:t>NVIDIA Deep Learning Institute — Agentic AI (2025)</w:t>
      </w:r>
    </w:p>
    <w:p>
      <w:pPr>
        <w:pStyle w:val="ListBullet"/>
        <w:spacing w:before="20" w:after="20"/>
      </w:pPr>
      <w:r>
        <w:rPr>
          <w:sz w:val="19"/>
        </w:rPr>
        <w:t>NVIDIA Deep Learning Institute — Building LLM Applications (2025)</w:t>
      </w:r>
    </w:p>
    <w:p>
      <w:pPr>
        <w:pStyle w:val="ListBullet"/>
        <w:spacing w:before="20" w:after="20"/>
      </w:pPr>
      <w:r>
        <w:rPr>
          <w:sz w:val="19"/>
        </w:rPr>
        <w:t>NVIDIA Deep Learning Institute — LLM Fundamentals (2025)</w:t>
      </w:r>
    </w:p>
    <w:p>
      <w:pPr>
        <w:spacing w:before="160" w:after="40"/>
        <w:pBdr>
          <w:bottom w:val="single" w:sz="6" w:space="1" w:color="225C99"/>
        </w:pBdr>
      </w:pPr>
      <w:r>
        <w:rPr>
          <w:b/>
          <w:color w:val="225C99"/>
          <w:sz w:val="22"/>
        </w:rPr>
        <w:t>ACTIVITIES &amp; HONOURS</w:t>
      </w:r>
    </w:p>
    <w:p>
      <w:pPr>
        <w:pStyle w:val="ListBullet"/>
        <w:spacing w:before="20" w:after="20"/>
      </w:pPr>
      <w:r>
        <w:rPr>
          <w:sz w:val="19"/>
        </w:rPr>
        <w:t>Kaggle RSNA Pneumonia Detection Challenge — Top 4% (Oct 2018)</w:t>
      </w:r>
    </w:p>
    <w:p>
      <w:pPr>
        <w:pStyle w:val="ListBullet"/>
        <w:spacing w:before="20" w:after="20"/>
      </w:pPr>
      <w:r>
        <w:rPr>
          <w:sz w:val="19"/>
        </w:rPr>
        <w:t>"Zoom Star" Award — Third Prize (Aug 2022)</w:t>
      </w:r>
    </w:p>
    <w:p>
      <w:pPr>
        <w:pStyle w:val="ListBullet"/>
        <w:spacing w:before="20" w:after="20"/>
      </w:pPr>
      <w:r>
        <w:rPr>
          <w:sz w:val="19"/>
        </w:rPr>
        <w:t>Open-source contributions: (in progress)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