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姚  颖</w:t>
      </w:r>
    </w:p>
    <w:p>
      <w:pPr>
        <w:jc w:val="center"/>
      </w:pPr>
      <w:r>
        <w:rPr>
          <w:sz w:val="18"/>
        </w:rPr>
        <w:t>中国杭州  |  +86-19357660781  |  yyao374@gatech.edu  |  arxiv.org/abs/2604.03768</w:t>
      </w:r>
    </w:p>
    <w:p>
      <w:pPr>
        <w:spacing w:before="160" w:after="40"/>
        <w:pBdr>
          <w:bottom w:val="single" w:sz="6" w:space="1" w:color="225C99"/>
        </w:pBdr>
      </w:pPr>
      <w:r>
        <w:rPr>
          <w:b/>
          <w:color w:val="225C99"/>
          <w:sz w:val="22"/>
        </w:rPr>
        <w:t>个人简介</w:t>
      </w:r>
    </w:p>
    <w:p>
      <w:pPr>
        <w:spacing w:before="40" w:after="40"/>
      </w:pPr>
      <w:r>
        <w:rPr>
          <w:sz w:val="19"/>
        </w:rPr>
        <w:t>拥有10年机器学习与数据领域工业经验的ML工程师，正积极向AI工程师方向转型，专注于LLM应用与智能体（Agent）系统。具备在Zoom将ML系统规模化落地生产的完整经验，近期在多智能体AI工作流方面有实际应用实践。NVIDIA认证Agentic AI与LLM开发工程师，RL方向arXiv发表作者（2025年）。美国佐治亚理工学院计算机科学硕士在读（2026年毕业）。目标职位：AI工程师 / LLM工程师，方向为智能体应用与后训练（Post-training）。</w:t>
      </w:r>
    </w:p>
    <w:p>
      <w:pPr>
        <w:spacing w:before="160" w:after="40"/>
        <w:pBdr>
          <w:bottom w:val="single" w:sz="6" w:space="1" w:color="225C99"/>
        </w:pBdr>
      </w:pPr>
      <w:r>
        <w:rPr>
          <w:b/>
          <w:color w:val="225C99"/>
          <w:sz w:val="22"/>
        </w:rPr>
        <w:t>技术栈</w:t>
      </w:r>
    </w:p>
    <w:p>
      <w:pPr>
        <w:spacing w:before="20" w:after="20"/>
      </w:pPr>
      <w:r>
        <w:rPr>
          <w:b/>
          <w:sz w:val="19"/>
        </w:rPr>
        <w:t>AI/ML：</w:t>
      </w:r>
      <w:r>
        <w:rPr>
          <w:sz w:val="19"/>
        </w:rPr>
        <w:t>LLM微调、RLHF、PPO、强化学习、异常检测、时序预测、计算机视觉</w:t>
      </w:r>
    </w:p>
    <w:p>
      <w:pPr>
        <w:spacing w:before="20" w:after="20"/>
      </w:pPr>
      <w:r>
        <w:rPr>
          <w:b/>
          <w:sz w:val="19"/>
        </w:rPr>
        <w:t>框架：</w:t>
      </w:r>
      <w:r>
        <w:rPr>
          <w:sz w:val="19"/>
        </w:rPr>
        <w:t>PyTorch、Stable-Baselines3、LangChain、Hugging Face、Scikit-learn、XGBoost</w:t>
      </w:r>
    </w:p>
    <w:p>
      <w:pPr>
        <w:spacing w:before="20" w:after="20"/>
      </w:pPr>
      <w:r>
        <w:rPr>
          <w:b/>
          <w:sz w:val="19"/>
        </w:rPr>
        <w:t>工程：</w:t>
      </w:r>
      <w:r>
        <w:rPr>
          <w:sz w:val="19"/>
        </w:rPr>
        <w:t>Python、Spark、Kubernetes、Jenkins、Git、Docker</w:t>
      </w:r>
    </w:p>
    <w:p>
      <w:pPr>
        <w:spacing w:before="20" w:after="20"/>
      </w:pPr>
      <w:r>
        <w:rPr>
          <w:b/>
          <w:sz w:val="19"/>
        </w:rPr>
        <w:t>云与基础设施：</w:t>
      </w:r>
      <w:r>
        <w:rPr>
          <w:sz w:val="19"/>
        </w:rPr>
        <w:t>AWS、分布式系统、模型部署</w:t>
      </w:r>
    </w:p>
    <w:p>
      <w:pPr>
        <w:spacing w:before="160" w:after="40"/>
        <w:pBdr>
          <w:bottom w:val="single" w:sz="6" w:space="1" w:color="225C99"/>
        </w:pBdr>
      </w:pPr>
      <w:r>
        <w:rPr>
          <w:b/>
          <w:color w:val="225C99"/>
          <w:sz w:val="22"/>
        </w:rPr>
        <w:t>工作经历</w:t>
      </w:r>
    </w:p>
    <w:p>
      <w:pPr>
        <w:spacing w:before="120" w:after="20"/>
      </w:pPr>
      <w:r>
        <w:rPr>
          <w:b/>
          <w:sz w:val="20"/>
        </w:rPr>
        <w:t>机器学习工程师 — Zoom，杭州</w:t>
      </w:r>
    </w:p>
    <w:p>
      <w:pPr>
        <w:spacing w:before="0" w:after="40"/>
      </w:pPr>
      <w:r>
        <w:rPr>
          <w:i/>
          <w:color w:val="666666"/>
          <w:sz w:val="18"/>
        </w:rPr>
        <w:t>2021年12月 – 2025年12月</w:t>
      </w:r>
    </w:p>
    <w:p>
      <w:pPr>
        <w:pStyle w:val="ListBullet"/>
        <w:spacing w:before="20" w:after="20"/>
      </w:pPr>
      <w:r>
        <w:rPr>
          <w:sz w:val="19"/>
        </w:rPr>
        <w:t>参与团队AI转型项目，借助公司内部AI Hub平台（原生支持多智能体编排）构建基于ReAct风格的根因分析工作流</w:t>
      </w:r>
    </w:p>
    <w:p>
      <w:pPr>
        <w:pStyle w:val="ListBullet"/>
        <w:spacing w:before="20" w:after="20"/>
      </w:pPr>
      <w:r>
        <w:rPr>
          <w:sz w:val="19"/>
        </w:rPr>
        <w:t>从零独立研发并产品化时序通用异常检测系统，覆盖公司内部80+服务、500+监控项，成本仅为AWS同等监控服务的1/9</w:t>
      </w:r>
    </w:p>
    <w:p>
      <w:pPr>
        <w:pStyle w:val="ListBullet"/>
        <w:spacing w:before="20" w:after="20"/>
      </w:pPr>
      <w:r>
        <w:rPr>
          <w:sz w:val="19"/>
        </w:rPr>
        <w:t>研发AIOps领域粗粒度根因分析器，融合机器学习与工程手段，实现告警聚合压缩、服务地图重建、服务级根因定位</w:t>
      </w:r>
    </w:p>
    <w:p>
      <w:pPr>
        <w:pStyle w:val="ListBullet"/>
        <w:spacing w:before="20" w:after="20"/>
      </w:pPr>
      <w:r>
        <w:rPr>
          <w:sz w:val="19"/>
        </w:rPr>
        <w:t>担任新员工导师，协助校招生完成技术入职与协作流程融入</w:t>
      </w:r>
    </w:p>
    <w:p>
      <w:pPr>
        <w:spacing w:before="120" w:after="20"/>
      </w:pPr>
      <w:r>
        <w:rPr>
          <w:b/>
          <w:sz w:val="20"/>
        </w:rPr>
        <w:t>数据科学家 — BluWave-ai，加拿大渥太华</w:t>
      </w:r>
    </w:p>
    <w:p>
      <w:pPr>
        <w:spacing w:before="0" w:after="40"/>
      </w:pPr>
      <w:r>
        <w:rPr>
          <w:i/>
          <w:color w:val="666666"/>
          <w:sz w:val="18"/>
        </w:rPr>
        <w:t>2019年3月 – 2021年5月</w:t>
      </w:r>
    </w:p>
    <w:p>
      <w:pPr>
        <w:pStyle w:val="ListBullet"/>
        <w:spacing w:before="20" w:after="20"/>
      </w:pPr>
      <w:r>
        <w:rPr>
          <w:sz w:val="19"/>
        </w:rPr>
        <w:t>应用聚类、神经网络、梯度提升、模型集成等ML方法，完成风电、负荷、光伏等能源要素时序预测任务</w:t>
      </w:r>
    </w:p>
    <w:p>
      <w:pPr>
        <w:pStyle w:val="ListBullet"/>
        <w:spacing w:before="20" w:after="20"/>
      </w:pPr>
      <w:r>
        <w:rPr>
          <w:sz w:val="19"/>
        </w:rPr>
        <w:t>主导某市级客户能源与电价预测项目，为公司带来超过12万加元年度经常性收入</w:t>
      </w:r>
    </w:p>
    <w:p>
      <w:pPr>
        <w:pStyle w:val="ListBullet"/>
        <w:spacing w:before="20" w:after="20"/>
      </w:pPr>
      <w:r>
        <w:rPr>
          <w:sz w:val="19"/>
        </w:rPr>
        <w:t>负责多源数据预处理与特征工程的端到端数据管道建设</w:t>
      </w:r>
    </w:p>
    <w:p>
      <w:pPr>
        <w:spacing w:before="120" w:after="20"/>
      </w:pPr>
      <w:r>
        <w:rPr>
          <w:b/>
          <w:sz w:val="20"/>
        </w:rPr>
        <w:t>研究助理 — 卡尔顿大学（CQADS），渥太华</w:t>
      </w:r>
    </w:p>
    <w:p>
      <w:pPr>
        <w:spacing w:before="0" w:after="40"/>
      </w:pPr>
      <w:r>
        <w:rPr>
          <w:i/>
          <w:color w:val="666666"/>
          <w:sz w:val="18"/>
        </w:rPr>
        <w:t>2018年8月 – 2019年3月</w:t>
      </w:r>
    </w:p>
    <w:p>
      <w:pPr>
        <w:pStyle w:val="ListBullet"/>
        <w:spacing w:before="20" w:after="20"/>
      </w:pPr>
      <w:r>
        <w:rPr>
          <w:sz w:val="19"/>
        </w:rPr>
        <w:t>独立完成2个数据科学项目，涵盖时序预测、网络爬虫、计算机视觉及内容推荐引擎</w:t>
      </w:r>
    </w:p>
    <w:p>
      <w:pPr>
        <w:pStyle w:val="ListBullet"/>
        <w:spacing w:before="20" w:after="20"/>
      </w:pPr>
      <w:r>
        <w:rPr>
          <w:sz w:val="19"/>
        </w:rPr>
        <w:t>协助CQADS构建面向联邦政府和银行业客户的项目流程及研讨会材料</w:t>
      </w:r>
    </w:p>
    <w:p>
      <w:pPr>
        <w:spacing w:before="120" w:after="20"/>
      </w:pPr>
      <w:r>
        <w:rPr>
          <w:b/>
          <w:sz w:val="20"/>
        </w:rPr>
        <w:t>BI与报表分析师II — 道明银行集团（TD Bank），渥太华</w:t>
      </w:r>
    </w:p>
    <w:p>
      <w:pPr>
        <w:spacing w:before="0" w:after="40"/>
      </w:pPr>
      <w:r>
        <w:rPr>
          <w:i/>
          <w:color w:val="666666"/>
          <w:sz w:val="18"/>
        </w:rPr>
        <w:t>2016年3月 – 2018年6月</w:t>
      </w:r>
    </w:p>
    <w:p>
      <w:pPr>
        <w:pStyle w:val="ListBullet"/>
        <w:spacing w:before="20" w:after="20"/>
      </w:pPr>
      <w:r>
        <w:rPr>
          <w:sz w:val="19"/>
        </w:rPr>
        <w:t>设计并维护10+个日/月度绩效报表与数据看板</w:t>
      </w:r>
    </w:p>
    <w:p>
      <w:pPr>
        <w:pStyle w:val="ListBullet"/>
        <w:spacing w:before="20" w:after="20"/>
      </w:pPr>
      <w:r>
        <w:rPr>
          <w:sz w:val="19"/>
        </w:rPr>
        <w:t>通过SAS/Excel VBA/SQL自动化流程，节约30%以上报表处理时间</w:t>
      </w:r>
    </w:p>
    <w:p>
      <w:pPr>
        <w:spacing w:before="160" w:after="40"/>
        <w:pBdr>
          <w:bottom w:val="single" w:sz="6" w:space="1" w:color="225C99"/>
        </w:pBdr>
      </w:pPr>
      <w:r>
        <w:rPr>
          <w:b/>
          <w:color w:val="225C99"/>
          <w:sz w:val="22"/>
        </w:rPr>
        <w:t>教育背景</w:t>
      </w:r>
    </w:p>
    <w:p>
      <w:pPr>
        <w:spacing w:before="40" w:after="40"/>
      </w:pPr>
      <w:r>
        <w:rPr>
          <w:sz w:val="19"/>
        </w:rPr>
        <w:t>计算机科学硕士 — 美国佐治亚理工学院（2021年9月 – 2026年4月）</w:t>
      </w:r>
    </w:p>
    <w:p>
      <w:pPr>
        <w:spacing w:before="40" w:after="40"/>
      </w:pPr>
      <w:r>
        <w:rPr>
          <w:sz w:val="19"/>
        </w:rPr>
        <w:t>概率统计硕士 — 加拿大卡尔顿大学（2014年1月 – 2015年12月）</w:t>
      </w:r>
    </w:p>
    <w:p>
      <w:pPr>
        <w:spacing w:before="40" w:after="40"/>
      </w:pPr>
      <w:r>
        <w:rPr>
          <w:sz w:val="19"/>
        </w:rPr>
        <w:t>应用数学学士 — 山东师范大学（2009年9月 – 2013年6月）</w:t>
      </w:r>
    </w:p>
    <w:p>
      <w:pPr>
        <w:spacing w:before="160" w:after="40"/>
        <w:pBdr>
          <w:bottom w:val="single" w:sz="6" w:space="1" w:color="225C99"/>
        </w:pBdr>
      </w:pPr>
      <w:r>
        <w:rPr>
          <w:b/>
          <w:color w:val="225C99"/>
          <w:sz w:val="22"/>
        </w:rPr>
        <w:t>论文发表</w:t>
      </w:r>
    </w:p>
    <w:p>
      <w:pPr>
        <w:spacing w:before="40" w:after="40"/>
      </w:pPr>
      <w:r>
        <w:rPr>
          <w:sz w:val="19"/>
        </w:rPr>
        <w:t>姚颖. "RL-Driven Sustainable Land-Use Allocation for the Lake Malawi Basin." arXiv预印本 arXiv:2604.03768，2025年。目标投稿：CCAI @ NeurIPS 2026 Workshop。</w:t>
      </w:r>
    </w:p>
    <w:p>
      <w:pPr>
        <w:spacing w:before="160" w:after="40"/>
        <w:pBdr>
          <w:bottom w:val="single" w:sz="6" w:space="1" w:color="225C99"/>
        </w:pBdr>
      </w:pPr>
      <w:r>
        <w:rPr>
          <w:b/>
          <w:color w:val="225C99"/>
          <w:sz w:val="22"/>
        </w:rPr>
        <w:t>资质认证</w:t>
      </w:r>
    </w:p>
    <w:p>
      <w:pPr>
        <w:pStyle w:val="ListBullet"/>
        <w:spacing w:before="20" w:after="20"/>
      </w:pPr>
      <w:r>
        <w:rPr>
          <w:sz w:val="19"/>
        </w:rPr>
        <w:t>NVIDIA深度学习研究院 — Agentic AI认证（2025）</w:t>
      </w:r>
    </w:p>
    <w:p>
      <w:pPr>
        <w:pStyle w:val="ListBullet"/>
        <w:spacing w:before="20" w:after="20"/>
      </w:pPr>
      <w:r>
        <w:rPr>
          <w:sz w:val="19"/>
        </w:rPr>
        <w:t>NVIDIA深度学习研究院 — LLM应用开发认证（2025）</w:t>
      </w:r>
    </w:p>
    <w:p>
      <w:pPr>
        <w:pStyle w:val="ListBullet"/>
        <w:spacing w:before="20" w:after="20"/>
      </w:pPr>
      <w:r>
        <w:rPr>
          <w:sz w:val="19"/>
        </w:rPr>
        <w:t>NVIDIA深度学习研究院 — LLM基础认证（2025）</w:t>
      </w:r>
    </w:p>
    <w:p>
      <w:pPr>
        <w:spacing w:before="160" w:after="40"/>
        <w:pBdr>
          <w:bottom w:val="single" w:sz="6" w:space="1" w:color="225C99"/>
        </w:pBdr>
      </w:pPr>
      <w:r>
        <w:rPr>
          <w:b/>
          <w:color w:val="225C99"/>
          <w:sz w:val="22"/>
        </w:rPr>
        <w:t>荣誉与活动</w:t>
      </w:r>
    </w:p>
    <w:p>
      <w:pPr>
        <w:pStyle w:val="ListBullet"/>
        <w:spacing w:before="20" w:after="20"/>
      </w:pPr>
      <w:r>
        <w:rPr>
          <w:sz w:val="19"/>
        </w:rPr>
        <w:t>Kaggle RSNA肺炎检测挑战赛 — 前4%（2018年10月）</w:t>
      </w:r>
    </w:p>
    <w:p>
      <w:pPr>
        <w:pStyle w:val="ListBullet"/>
        <w:spacing w:before="20" w:after="20"/>
      </w:pPr>
      <w:r>
        <w:rPr>
          <w:sz w:val="19"/>
        </w:rPr>
        <w:t>Zoom内部"Zoom之星"三等奖（2022年8月）</w:t>
      </w:r>
    </w:p>
    <w:p>
      <w:pPr>
        <w:pStyle w:val="ListBullet"/>
        <w:spacing w:before="20" w:after="20"/>
      </w:pPr>
      <w:r>
        <w:rPr>
          <w:sz w:val="19"/>
        </w:rPr>
        <w:t>开源贡献：（进行中）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