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5" w:type="dxa"/>
        <w:tblInd w:w="-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300"/>
        <w:gridCol w:w="765"/>
      </w:tblGrid>
      <w:tr w:rsidR="00DA16DE" w14:paraId="764FD7D5" w14:textId="77777777" w:rsidTr="003D596D">
        <w:trPr>
          <w:trHeight w:val="330"/>
        </w:trPr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881C" w14:textId="77777777" w:rsidR="00DA16DE" w:rsidRDefault="00DA16DE" w:rsidP="007A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0065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8D7" w14:textId="77777777" w:rsidR="00DA16DE" w:rsidRDefault="00DA16DE" w:rsidP="007A3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shd w:val="clear" w:color="auto" w:fill="CCCCCC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Journal List (Multi-disciplinary)</w:t>
            </w:r>
          </w:p>
        </w:tc>
      </w:tr>
      <w:tr w:rsidR="00DA16DE" w14:paraId="58EA44D9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0706CD0D" w14:textId="774A2C7A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AF52B7D" w14:textId="77777777" w:rsidR="00DA16DE" w:rsidRPr="00F95C19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Journal of Information Technology Education: Innovations in Practice </w:t>
            </w:r>
          </w:p>
          <w:p w14:paraId="1A9223FE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hyperlink r:id="rId4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https://www.informingscience.org/Journals/JITEIIP/Overview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737B88FC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Q2</w:t>
            </w:r>
          </w:p>
        </w:tc>
      </w:tr>
      <w:tr w:rsidR="00DA16DE" w14:paraId="4394D68C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E6027E1" w14:textId="59E3BAA1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9E69D8F" w14:textId="77777777" w:rsidR="00DA16DE" w:rsidRPr="003D596D" w:rsidRDefault="00DA16DE" w:rsidP="007A3F81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Journal of Information Technology Case and Application Research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5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https://www.tandfonline.com/toc/utca20/current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5F3740FA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Q2</w:t>
            </w:r>
          </w:p>
        </w:tc>
      </w:tr>
      <w:tr w:rsidR="00DA16DE" w14:paraId="1C7C9D34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FF784C3" w14:textId="7169A5AA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15AD06C2" w14:textId="2F9BB852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International Journal of Artificial Intelligence in Education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6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https://www.springer.com/journal/40593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  <w:r w:rsidR="001F005B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r w:rsidR="001F005B" w:rsidRPr="001F005B">
              <w:rPr>
                <w:rFonts w:ascii="Garamond" w:eastAsia="Garamond" w:hAnsi="Garamond" w:cs="Garamond"/>
                <w:color w:val="FF0000"/>
                <w:sz w:val="24"/>
                <w:szCs w:val="24"/>
              </w:rPr>
              <w:t>SUBMITTED</w:t>
            </w:r>
            <w:r w:rsidR="001F005B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29E8F2C1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Q1</w:t>
            </w:r>
          </w:p>
        </w:tc>
      </w:tr>
      <w:tr w:rsidR="00DA16DE" w14:paraId="78A025ED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73A79C1E" w14:textId="3C718674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001D2F00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Asia Pacific Journal of Education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hyperlink r:id="rId7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(https://www.tandfonline.com/journals/cape20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7AA0CF77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Q2</w:t>
            </w:r>
          </w:p>
        </w:tc>
      </w:tr>
      <w:tr w:rsidR="00DA16DE" w14:paraId="496B5839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2DBEB7C" w14:textId="2EC12DB9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9E5CD96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Journal of Universal Computer Science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8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https://lib.jucs.org/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400CCFA8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Q3</w:t>
            </w:r>
          </w:p>
        </w:tc>
      </w:tr>
      <w:tr w:rsidR="00DA16DE" w14:paraId="6CC030FE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6245C8C" w14:textId="627B3CF3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BFF3888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Journal of Computer Information Systems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9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https://www.tandfonline.com/journals/ucis20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792892CB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Q1</w:t>
            </w:r>
          </w:p>
        </w:tc>
      </w:tr>
      <w:tr w:rsidR="00DA16DE" w14:paraId="4A6F4571" w14:textId="77777777" w:rsidTr="00DA16DE"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424729E" w14:textId="5E11A116" w:rsidR="00DA16DE" w:rsidRPr="003D596D" w:rsidRDefault="00B50A53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54DD212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Asia Pacific Journal of Information Systems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10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http://www.apjis.or.kr/index.asp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3580B8A2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Q3</w:t>
            </w:r>
          </w:p>
        </w:tc>
      </w:tr>
      <w:tr w:rsidR="00DA16DE" w14:paraId="61F65D6B" w14:textId="77777777" w:rsidTr="00DA16DE">
        <w:trPr>
          <w:trHeight w:val="435"/>
        </w:trPr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35E27B95" w14:textId="54896403" w:rsidR="00DA16DE" w:rsidRPr="003D596D" w:rsidRDefault="00A95AF6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4CABD181" w14:textId="0A935824" w:rsidR="00DA16DE" w:rsidRPr="003D596D" w:rsidRDefault="00F94335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433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International Journal of Science Education</w:t>
            </w:r>
            <w:r w:rsidRPr="00F9433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hyperlink r:id="rId11" w:history="1">
              <w:r w:rsidRPr="00F94335">
                <w:rPr>
                  <w:rStyle w:val="Hyperlink"/>
                  <w:rFonts w:ascii="Garamond" w:eastAsia="Garamond" w:hAnsi="Garamond" w:cs="Garamond"/>
                  <w:sz w:val="24"/>
                  <w:szCs w:val="24"/>
                </w:rPr>
                <w:t>https://www.tandfonline.com/loi/tsed20</w:t>
              </w:r>
            </w:hyperlink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76911B8D" w14:textId="7E921623" w:rsidR="00DA16DE" w:rsidRPr="00D7616E" w:rsidRDefault="008D5188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Q1</w:t>
            </w:r>
          </w:p>
        </w:tc>
      </w:tr>
      <w:tr w:rsidR="00DA16DE" w14:paraId="7344A553" w14:textId="77777777" w:rsidTr="00DA16DE">
        <w:trPr>
          <w:trHeight w:val="480"/>
        </w:trPr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436AC5B6" w14:textId="4F73B4FE" w:rsidR="00DA16DE" w:rsidRPr="003D596D" w:rsidRDefault="00A95AF6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722FA9E9" w14:textId="77777777" w:rsidR="00DA16DE" w:rsidRPr="003D596D" w:rsidRDefault="00DA16DE" w:rsidP="007A3F81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IJIE (Indonesian Journal of Informatics Education)</w:t>
            </w:r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hyperlink r:id="rId12">
              <w:r w:rsidRPr="003D596D">
                <w:rPr>
                  <w:rFonts w:ascii="Garamond" w:eastAsia="Garamond" w:hAnsi="Garamond" w:cs="Garamond"/>
                  <w:color w:val="1155CC"/>
                  <w:sz w:val="24"/>
                  <w:szCs w:val="24"/>
                  <w:u w:val="single"/>
                </w:rPr>
                <w:t>(https://jurnal.uns.ac.id/ijie/index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299644D6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not </w:t>
            </w:r>
            <w:proofErr w:type="spellStart"/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scopus</w:t>
            </w:r>
            <w:proofErr w:type="spellEnd"/>
          </w:p>
        </w:tc>
      </w:tr>
      <w:tr w:rsidR="00DA16DE" w14:paraId="3CB4B5B7" w14:textId="77777777" w:rsidTr="00DA16DE">
        <w:trPr>
          <w:trHeight w:val="405"/>
        </w:trPr>
        <w:tc>
          <w:tcPr>
            <w:tcW w:w="54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2B874509" w14:textId="27C8C086" w:rsidR="00DA16DE" w:rsidRPr="003D596D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3D596D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 w:rsidR="00A95AF6">
              <w:rPr>
                <w:rFonts w:ascii="Garamond" w:eastAsia="Garamond" w:hAnsi="Garamond" w:cs="Garamond"/>
                <w:b/>
                <w:sz w:val="24"/>
                <w:szCs w:val="24"/>
              </w:rPr>
              <w:t>0</w:t>
            </w:r>
          </w:p>
        </w:tc>
        <w:tc>
          <w:tcPr>
            <w:tcW w:w="930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F3F3F3"/>
          </w:tcPr>
          <w:p w14:paraId="7F7022B0" w14:textId="634A04B5" w:rsidR="00DA16DE" w:rsidRPr="003D596D" w:rsidRDefault="00DA16DE" w:rsidP="007A3F81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Journal of Science Education and </w:t>
            </w:r>
            <w:r w:rsidR="00B50A53" w:rsidRPr="00F95C1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Technology</w:t>
            </w:r>
            <w:r w:rsidR="00B50A53" w:rsidRPr="003D596D">
              <w:rPr>
                <w:rFonts w:ascii="Garamond" w:eastAsia="Garamond" w:hAnsi="Garamond" w:cs="Garamond"/>
                <w:sz w:val="24"/>
                <w:szCs w:val="24"/>
              </w:rPr>
              <w:t xml:space="preserve"> (</w:t>
            </w:r>
            <w:hyperlink r:id="rId13">
              <w:r w:rsidRPr="003D596D">
                <w:rPr>
                  <w:rFonts w:ascii="Garamond" w:eastAsia="Garamond" w:hAnsi="Garamond" w:cs="Garamond"/>
                  <w:color w:val="0563C1"/>
                  <w:sz w:val="24"/>
                  <w:szCs w:val="24"/>
                  <w:u w:val="single"/>
                </w:rPr>
                <w:t>https://www.springer.com/journal/10956</w:t>
              </w:r>
            </w:hyperlink>
            <w:r w:rsidRPr="003D596D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D0E0E3"/>
          </w:tcPr>
          <w:p w14:paraId="0BEFB187" w14:textId="77777777" w:rsidR="00DA16DE" w:rsidRPr="00D7616E" w:rsidRDefault="00DA16DE" w:rsidP="007A3F8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7616E">
              <w:rPr>
                <w:rFonts w:ascii="Garamond" w:eastAsia="Garamond" w:hAnsi="Garamond" w:cs="Garamond"/>
                <w:b/>
                <w:sz w:val="24"/>
                <w:szCs w:val="24"/>
              </w:rPr>
              <w:t>Q1</w:t>
            </w:r>
          </w:p>
        </w:tc>
      </w:tr>
    </w:tbl>
    <w:p w14:paraId="5CA954FA" w14:textId="77777777" w:rsidR="0087131D" w:rsidRDefault="0087131D"/>
    <w:sectPr w:rsidR="0087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77"/>
    <w:rsid w:val="000B6249"/>
    <w:rsid w:val="001F005B"/>
    <w:rsid w:val="002D6477"/>
    <w:rsid w:val="003D596D"/>
    <w:rsid w:val="00727E8B"/>
    <w:rsid w:val="0087131D"/>
    <w:rsid w:val="008D5188"/>
    <w:rsid w:val="00936D00"/>
    <w:rsid w:val="00A95AF6"/>
    <w:rsid w:val="00B50A53"/>
    <w:rsid w:val="00D7616E"/>
    <w:rsid w:val="00DA16DE"/>
    <w:rsid w:val="00F90081"/>
    <w:rsid w:val="00F94335"/>
    <w:rsid w:val="00F9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C75"/>
  <w15:chartTrackingRefBased/>
  <w15:docId w15:val="{6A8F24E5-E409-47C2-B47D-23ADF817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DE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jucs.org/" TargetMode="External"/><Relationship Id="rId13" Type="http://schemas.openxmlformats.org/officeDocument/2006/relationships/hyperlink" Target="https://www.springer.com/journal/109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journals/cape20" TargetMode="External"/><Relationship Id="rId12" Type="http://schemas.openxmlformats.org/officeDocument/2006/relationships/hyperlink" Target="https://jurnal.uns.ac.id/ijie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er.com/journal/40593" TargetMode="External"/><Relationship Id="rId11" Type="http://schemas.openxmlformats.org/officeDocument/2006/relationships/hyperlink" Target="https://www.tandfonline.com/loi/tsed20" TargetMode="External"/><Relationship Id="rId5" Type="http://schemas.openxmlformats.org/officeDocument/2006/relationships/hyperlink" Target="https://www.tandfonline.com/toc/utca20/curr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jis.or.kr/index.asp" TargetMode="External"/><Relationship Id="rId4" Type="http://schemas.openxmlformats.org/officeDocument/2006/relationships/hyperlink" Target="https://www.informingscience.org/Journals/JITEIIP/Overview" TargetMode="External"/><Relationship Id="rId9" Type="http://schemas.openxmlformats.org/officeDocument/2006/relationships/hyperlink" Target="https://www.tandfonline.com/journals/ucis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15</cp:revision>
  <dcterms:created xsi:type="dcterms:W3CDTF">2023-09-12T14:18:00Z</dcterms:created>
  <dcterms:modified xsi:type="dcterms:W3CDTF">2023-09-22T18:01:00Z</dcterms:modified>
</cp:coreProperties>
</file>