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FED4D8" w14:textId="69CC1FFE" w:rsidR="000C5859" w:rsidRPr="00CD31F9" w:rsidRDefault="000C5859" w:rsidP="00CD31F9">
      <w:pPr>
        <w:jc w:val="center"/>
        <w:rPr>
          <w:rFonts w:asciiTheme="majorBidi" w:hAnsiTheme="majorBidi" w:cstheme="majorBidi"/>
          <w:b/>
          <w:bCs/>
          <w:sz w:val="36"/>
          <w:szCs w:val="36"/>
        </w:rPr>
      </w:pPr>
      <w:r w:rsidRPr="00CD31F9">
        <w:rPr>
          <w:rFonts w:asciiTheme="majorBidi" w:hAnsiTheme="majorBidi" w:cstheme="majorBidi"/>
          <w:b/>
          <w:bCs/>
          <w:sz w:val="36"/>
          <w:szCs w:val="36"/>
        </w:rPr>
        <w:t>Chapter 4</w:t>
      </w:r>
    </w:p>
    <w:p w14:paraId="00000001" w14:textId="03DE01FC" w:rsidR="00DD04F1" w:rsidRDefault="00000000" w:rsidP="00CD31F9">
      <w:pPr>
        <w:jc w:val="both"/>
        <w:rPr>
          <w:rFonts w:asciiTheme="majorBidi" w:hAnsiTheme="majorBidi" w:cstheme="majorBidi"/>
          <w:b/>
          <w:bCs/>
          <w:sz w:val="36"/>
          <w:szCs w:val="36"/>
        </w:rPr>
      </w:pPr>
      <w:r w:rsidRPr="00CD31F9">
        <w:rPr>
          <w:rFonts w:asciiTheme="majorBidi" w:hAnsiTheme="majorBidi" w:cstheme="majorBidi"/>
          <w:b/>
          <w:bCs/>
          <w:sz w:val="36"/>
          <w:szCs w:val="36"/>
        </w:rPr>
        <w:t>Conclusion</w:t>
      </w:r>
    </w:p>
    <w:p w14:paraId="3C113553" w14:textId="77777777" w:rsidR="00971595" w:rsidRPr="00CD31F9" w:rsidRDefault="00971595" w:rsidP="00CD31F9">
      <w:pPr>
        <w:jc w:val="both"/>
        <w:rPr>
          <w:rFonts w:asciiTheme="majorBidi" w:hAnsiTheme="majorBidi" w:cstheme="majorBidi"/>
          <w:b/>
          <w:bCs/>
          <w:sz w:val="36"/>
          <w:szCs w:val="36"/>
        </w:rPr>
      </w:pPr>
    </w:p>
    <w:p w14:paraId="00000002" w14:textId="77777777" w:rsidR="00DD04F1" w:rsidRPr="00CD31F9" w:rsidRDefault="00000000" w:rsidP="00CD31F9">
      <w:pPr>
        <w:jc w:val="both"/>
        <w:rPr>
          <w:rFonts w:asciiTheme="majorBidi" w:hAnsiTheme="majorBidi" w:cstheme="majorBidi"/>
          <w:sz w:val="28"/>
          <w:szCs w:val="28"/>
        </w:rPr>
      </w:pPr>
      <w:r w:rsidRPr="00CD31F9">
        <w:rPr>
          <w:rFonts w:asciiTheme="majorBidi" w:hAnsiTheme="majorBidi" w:cstheme="majorBidi"/>
          <w:sz w:val="28"/>
          <w:szCs w:val="28"/>
        </w:rPr>
        <w:t>This project explored how mathematical modelling can be used to understand bacterial infections, antibiotic resistance, and the role of the immune system. By developing and analyzing a system of differential equations, we were able to capture the complex interactions between sensitive bacteria, resistant bacteria, and immune response.</w:t>
      </w:r>
    </w:p>
    <w:p w14:paraId="00000003" w14:textId="690CAFCC" w:rsidR="00DD04F1" w:rsidRPr="00CD31F9" w:rsidRDefault="00000000" w:rsidP="00CD31F9">
      <w:pPr>
        <w:jc w:val="both"/>
        <w:rPr>
          <w:rFonts w:asciiTheme="majorBidi" w:hAnsiTheme="majorBidi" w:cstheme="majorBidi"/>
          <w:sz w:val="28"/>
          <w:szCs w:val="28"/>
        </w:rPr>
      </w:pPr>
      <w:r w:rsidRPr="00CD31F9">
        <w:rPr>
          <w:rFonts w:asciiTheme="majorBidi" w:hAnsiTheme="majorBidi" w:cstheme="majorBidi"/>
          <w:sz w:val="28"/>
          <w:szCs w:val="28"/>
        </w:rPr>
        <w:t xml:space="preserve">The study shows that the outcome of an infection depends strongly on the balance between bacterial growth, antibiotic effectiveness, and immune strength. In some cases, treatment can eliminate sensitive bacteria but still allow resistant strains to persist, while in others, both types of bacteria may continue to </w:t>
      </w:r>
      <w:r w:rsidR="00CD31F9" w:rsidRPr="00CD31F9">
        <w:rPr>
          <w:rFonts w:asciiTheme="majorBidi" w:hAnsiTheme="majorBidi" w:cstheme="majorBidi"/>
          <w:sz w:val="28"/>
          <w:szCs w:val="28"/>
        </w:rPr>
        <w:t>survive. Overall</w:t>
      </w:r>
      <w:r w:rsidRPr="00CD31F9">
        <w:rPr>
          <w:rFonts w:asciiTheme="majorBidi" w:hAnsiTheme="majorBidi" w:cstheme="majorBidi"/>
          <w:sz w:val="28"/>
          <w:szCs w:val="28"/>
        </w:rPr>
        <w:t>, the model highlights a key real-world insight: antibiotic treatment alone is not always sufficient—an effective immune response is equally important in controlling infections. This emphasizes the growing challenge of antibiotic resistance in modern healthcare.</w:t>
      </w:r>
    </w:p>
    <w:p w14:paraId="00000004" w14:textId="77777777" w:rsidR="00DD04F1" w:rsidRPr="00CD31F9" w:rsidRDefault="00000000" w:rsidP="00CD31F9">
      <w:pPr>
        <w:jc w:val="both"/>
        <w:rPr>
          <w:rFonts w:asciiTheme="majorBidi" w:hAnsiTheme="majorBidi" w:cstheme="majorBidi"/>
          <w:sz w:val="28"/>
          <w:szCs w:val="28"/>
        </w:rPr>
      </w:pPr>
      <w:r w:rsidRPr="00CD31F9">
        <w:rPr>
          <w:rFonts w:asciiTheme="majorBidi" w:hAnsiTheme="majorBidi" w:cstheme="majorBidi"/>
          <w:sz w:val="28"/>
          <w:szCs w:val="28"/>
        </w:rPr>
        <w:t>In conclusion, mathematical models like this provide valuable tools for predicting infection behavior and can support better treatment strategies, while also pointing to the need for continued research in combating antibiotic resistance.</w:t>
      </w:r>
    </w:p>
    <w:p w14:paraId="00000005" w14:textId="77777777" w:rsidR="00DD04F1" w:rsidRPr="00CD31F9" w:rsidRDefault="00DD04F1" w:rsidP="00CD31F9">
      <w:pPr>
        <w:jc w:val="both"/>
        <w:rPr>
          <w:rFonts w:asciiTheme="majorBidi" w:hAnsiTheme="majorBidi" w:cstheme="majorBidi"/>
          <w:sz w:val="28"/>
          <w:szCs w:val="28"/>
        </w:rPr>
      </w:pPr>
    </w:p>
    <w:p w14:paraId="00000006" w14:textId="1A90B47E" w:rsidR="00DD04F1" w:rsidRPr="00CD31F9" w:rsidRDefault="00000000" w:rsidP="00CD31F9">
      <w:pPr>
        <w:jc w:val="both"/>
        <w:rPr>
          <w:rFonts w:asciiTheme="majorBidi" w:hAnsiTheme="majorBidi" w:cstheme="majorBidi"/>
          <w:sz w:val="28"/>
          <w:szCs w:val="28"/>
        </w:rPr>
      </w:pPr>
      <w:r w:rsidRPr="00CD31F9">
        <w:rPr>
          <w:rFonts w:asciiTheme="majorBidi" w:hAnsiTheme="majorBidi" w:cstheme="majorBidi"/>
          <w:sz w:val="28"/>
          <w:szCs w:val="28"/>
        </w:rPr>
        <w:t xml:space="preserve">For the population model, logistic growth with harvesting showed that sustainability is highly dependent on the harvesting rate. A critical threshold exists, beyond which the population declines rapidly and may approach extinction, as observed near the limiting value of the harvesting parameter. Periodic harvesting, while more complex, provides a more realistic representation and can help regulate populations when applied </w:t>
      </w:r>
      <w:r w:rsidR="00CD31F9" w:rsidRPr="00CD31F9">
        <w:rPr>
          <w:rFonts w:asciiTheme="majorBidi" w:hAnsiTheme="majorBidi" w:cstheme="majorBidi"/>
          <w:sz w:val="28"/>
          <w:szCs w:val="28"/>
        </w:rPr>
        <w:t>appropriately. Numerical</w:t>
      </w:r>
      <w:r w:rsidRPr="00CD31F9">
        <w:rPr>
          <w:rFonts w:asciiTheme="majorBidi" w:hAnsiTheme="majorBidi" w:cstheme="majorBidi"/>
          <w:sz w:val="28"/>
          <w:szCs w:val="28"/>
        </w:rPr>
        <w:t xml:space="preserve"> simulations and graphical methods further supported the analytical results by illustrating system behavior over time. Together, these models emphasize a common insight: maintaining balance within a system is essential for long-term stability.</w:t>
      </w:r>
    </w:p>
    <w:p w14:paraId="00000008" w14:textId="26A00B51" w:rsidR="00971595" w:rsidRDefault="00000000" w:rsidP="00CD31F9">
      <w:pPr>
        <w:jc w:val="both"/>
        <w:rPr>
          <w:rFonts w:asciiTheme="majorBidi" w:hAnsiTheme="majorBidi" w:cstheme="majorBidi"/>
          <w:sz w:val="28"/>
          <w:szCs w:val="28"/>
        </w:rPr>
      </w:pPr>
      <w:r w:rsidRPr="00CD31F9">
        <w:rPr>
          <w:rFonts w:asciiTheme="majorBidi" w:hAnsiTheme="majorBidi" w:cstheme="majorBidi"/>
          <w:sz w:val="28"/>
          <w:szCs w:val="28"/>
        </w:rPr>
        <w:t>In conclusion, this project highlights the power of differential equations as practical tools for modelling, prediction, and decision-making in biological and ecological systems, while also emphasizing the need for careful parameter control to ensure sustainable outcomes.</w:t>
      </w:r>
    </w:p>
    <w:p w14:paraId="64DEDDEB" w14:textId="77777777" w:rsidR="00971595" w:rsidRDefault="00971595">
      <w:pPr>
        <w:rPr>
          <w:rFonts w:asciiTheme="majorBidi" w:hAnsiTheme="majorBidi" w:cstheme="majorBidi"/>
          <w:sz w:val="28"/>
          <w:szCs w:val="28"/>
        </w:rPr>
      </w:pPr>
      <w:r>
        <w:rPr>
          <w:rFonts w:asciiTheme="majorBidi" w:hAnsiTheme="majorBidi" w:cstheme="majorBidi"/>
          <w:sz w:val="28"/>
          <w:szCs w:val="28"/>
        </w:rPr>
        <w:br w:type="page"/>
      </w:r>
    </w:p>
    <w:p w14:paraId="07501771" w14:textId="45B17F3D" w:rsidR="00DD04F1" w:rsidRPr="000A4363" w:rsidRDefault="00971595" w:rsidP="00971595">
      <w:pPr>
        <w:jc w:val="center"/>
        <w:rPr>
          <w:rFonts w:asciiTheme="majorBidi" w:hAnsiTheme="majorBidi" w:cstheme="majorBidi"/>
          <w:b/>
          <w:bCs/>
          <w:sz w:val="28"/>
          <w:szCs w:val="28"/>
        </w:rPr>
      </w:pPr>
      <w:r w:rsidRPr="000A4363">
        <w:rPr>
          <w:rFonts w:asciiTheme="majorBidi" w:hAnsiTheme="majorBidi" w:cstheme="majorBidi"/>
          <w:b/>
          <w:bCs/>
          <w:sz w:val="28"/>
          <w:szCs w:val="28"/>
        </w:rPr>
        <w:lastRenderedPageBreak/>
        <w:t>References</w:t>
      </w:r>
    </w:p>
    <w:p w14:paraId="0AD0E864" w14:textId="72303EE4" w:rsidR="000A4363" w:rsidRPr="000A4363" w:rsidRDefault="000A4363" w:rsidP="000A4363">
      <w:pPr>
        <w:rPr>
          <w:rFonts w:asciiTheme="majorBidi" w:hAnsiTheme="majorBidi" w:cstheme="majorBidi"/>
          <w:sz w:val="28"/>
          <w:szCs w:val="28"/>
          <w:lang w:val="en-US"/>
        </w:rPr>
      </w:pPr>
    </w:p>
    <w:p w14:paraId="6023BB49" w14:textId="77777777" w:rsidR="000A4363" w:rsidRPr="000A4363" w:rsidRDefault="000A4363" w:rsidP="000A4363">
      <w:pPr>
        <w:numPr>
          <w:ilvl w:val="0"/>
          <w:numId w:val="1"/>
        </w:numPr>
        <w:rPr>
          <w:rFonts w:asciiTheme="majorBidi" w:hAnsiTheme="majorBidi" w:cstheme="majorBidi"/>
          <w:sz w:val="28"/>
          <w:szCs w:val="28"/>
          <w:lang w:val="en-US"/>
        </w:rPr>
      </w:pPr>
      <w:r w:rsidRPr="000A4363">
        <w:rPr>
          <w:rFonts w:asciiTheme="majorBidi" w:hAnsiTheme="majorBidi" w:cstheme="majorBidi"/>
          <w:sz w:val="28"/>
          <w:szCs w:val="28"/>
          <w:lang w:val="en-US"/>
        </w:rPr>
        <w:t xml:space="preserve">Mondragón E.I., Mosquera S., </w:t>
      </w:r>
      <w:proofErr w:type="spellStart"/>
      <w:r w:rsidRPr="000A4363">
        <w:rPr>
          <w:rFonts w:asciiTheme="majorBidi" w:hAnsiTheme="majorBidi" w:cstheme="majorBidi"/>
          <w:sz w:val="28"/>
          <w:szCs w:val="28"/>
          <w:lang w:val="en-US"/>
        </w:rPr>
        <w:t>Cerón</w:t>
      </w:r>
      <w:proofErr w:type="spellEnd"/>
      <w:r w:rsidRPr="000A4363">
        <w:rPr>
          <w:rFonts w:asciiTheme="majorBidi" w:hAnsiTheme="majorBidi" w:cstheme="majorBidi"/>
          <w:sz w:val="28"/>
          <w:szCs w:val="28"/>
          <w:lang w:val="en-US"/>
        </w:rPr>
        <w:t xml:space="preserve"> M., et al.- Mathematical Modeling on Bacterial Resistance to Multiple Antibiotics Caused by Spontaneous Mutations. </w:t>
      </w:r>
      <w:proofErr w:type="spellStart"/>
      <w:r w:rsidRPr="000A4363">
        <w:rPr>
          <w:rFonts w:asciiTheme="majorBidi" w:hAnsiTheme="majorBidi" w:cstheme="majorBidi"/>
          <w:sz w:val="28"/>
          <w:szCs w:val="28"/>
          <w:lang w:val="en-US"/>
        </w:rPr>
        <w:t>BioSystems</w:t>
      </w:r>
      <w:proofErr w:type="spellEnd"/>
      <w:r w:rsidRPr="000A4363">
        <w:rPr>
          <w:rFonts w:asciiTheme="majorBidi" w:hAnsiTheme="majorBidi" w:cstheme="majorBidi"/>
          <w:sz w:val="28"/>
          <w:szCs w:val="28"/>
          <w:lang w:val="en-US"/>
        </w:rPr>
        <w:t>, 2014.</w:t>
      </w:r>
    </w:p>
    <w:p w14:paraId="55D4BCF4" w14:textId="77777777" w:rsidR="000A4363" w:rsidRPr="000A4363" w:rsidRDefault="000A4363" w:rsidP="000A4363">
      <w:pPr>
        <w:numPr>
          <w:ilvl w:val="0"/>
          <w:numId w:val="1"/>
        </w:numPr>
        <w:rPr>
          <w:rFonts w:asciiTheme="majorBidi" w:hAnsiTheme="majorBidi" w:cstheme="majorBidi"/>
          <w:sz w:val="28"/>
          <w:szCs w:val="28"/>
          <w:lang w:val="en-US"/>
        </w:rPr>
      </w:pPr>
      <w:r w:rsidRPr="000A4363">
        <w:rPr>
          <w:rFonts w:asciiTheme="majorBidi" w:hAnsiTheme="majorBidi" w:cstheme="majorBidi"/>
          <w:sz w:val="28"/>
          <w:szCs w:val="28"/>
          <w:lang w:val="en-US"/>
        </w:rPr>
        <w:t>Pugliese A. and Gandolfi A.- A Simple Model of Pathogen–Immune Dynamics Including Specific and Non-Specific Immunity. Mathematical Biosciences, 2008.</w:t>
      </w:r>
    </w:p>
    <w:p w14:paraId="5D61C9E2" w14:textId="77777777" w:rsidR="000A4363" w:rsidRPr="000A4363" w:rsidRDefault="000A4363" w:rsidP="000A4363">
      <w:pPr>
        <w:numPr>
          <w:ilvl w:val="0"/>
          <w:numId w:val="1"/>
        </w:numPr>
        <w:rPr>
          <w:rFonts w:asciiTheme="majorBidi" w:hAnsiTheme="majorBidi" w:cstheme="majorBidi"/>
          <w:sz w:val="28"/>
          <w:szCs w:val="28"/>
          <w:lang w:val="en-US"/>
        </w:rPr>
      </w:pPr>
      <w:r w:rsidRPr="000A4363">
        <w:rPr>
          <w:rFonts w:asciiTheme="majorBidi" w:hAnsiTheme="majorBidi" w:cstheme="majorBidi"/>
          <w:sz w:val="28"/>
          <w:szCs w:val="28"/>
          <w:lang w:val="en-US"/>
        </w:rPr>
        <w:t>Alavez J., Avendaño R., Esteva L., et al.- Within-Host Population Dynamics of Antibiotic-Resistant M. tuberculosis. Mathematical Medicine and Biology, 2006.</w:t>
      </w:r>
    </w:p>
    <w:p w14:paraId="0B8ADCDD" w14:textId="77777777" w:rsidR="000A4363" w:rsidRPr="000A4363" w:rsidRDefault="000A4363" w:rsidP="000A4363">
      <w:pPr>
        <w:numPr>
          <w:ilvl w:val="0"/>
          <w:numId w:val="1"/>
        </w:numPr>
        <w:rPr>
          <w:rFonts w:asciiTheme="majorBidi" w:hAnsiTheme="majorBidi" w:cstheme="majorBidi"/>
          <w:sz w:val="28"/>
          <w:szCs w:val="28"/>
          <w:lang w:val="en-US"/>
        </w:rPr>
      </w:pPr>
      <w:r w:rsidRPr="000A4363">
        <w:rPr>
          <w:rFonts w:asciiTheme="majorBidi" w:hAnsiTheme="majorBidi" w:cstheme="majorBidi"/>
          <w:sz w:val="28"/>
          <w:szCs w:val="28"/>
          <w:lang w:val="en-US"/>
        </w:rPr>
        <w:t>Hethcote H.W.- The Mathematics of Infectious Diseases. SIAM Review, 2000.</w:t>
      </w:r>
    </w:p>
    <w:p w14:paraId="6947C421" w14:textId="77777777" w:rsidR="000A4363" w:rsidRPr="000A4363" w:rsidRDefault="000A4363" w:rsidP="000A4363">
      <w:pPr>
        <w:numPr>
          <w:ilvl w:val="0"/>
          <w:numId w:val="1"/>
        </w:numPr>
        <w:rPr>
          <w:rFonts w:asciiTheme="majorBidi" w:hAnsiTheme="majorBidi" w:cstheme="majorBidi"/>
          <w:sz w:val="28"/>
          <w:szCs w:val="28"/>
          <w:lang w:val="en-US"/>
        </w:rPr>
      </w:pPr>
      <w:r w:rsidRPr="000A4363">
        <w:rPr>
          <w:rFonts w:asciiTheme="majorBidi" w:hAnsiTheme="majorBidi" w:cstheme="majorBidi"/>
          <w:sz w:val="28"/>
          <w:szCs w:val="28"/>
          <w:lang w:val="en-US"/>
        </w:rPr>
        <w:t>Nowak M.A. and May R.- Virus Dynamics: Mathematical Principles of Immunology and Virology. Oxford University Press, 2000.</w:t>
      </w:r>
    </w:p>
    <w:p w14:paraId="013C0886" w14:textId="77777777" w:rsidR="000A4363" w:rsidRDefault="000A4363" w:rsidP="000A4363">
      <w:pPr>
        <w:numPr>
          <w:ilvl w:val="0"/>
          <w:numId w:val="1"/>
        </w:numPr>
        <w:rPr>
          <w:rFonts w:asciiTheme="majorBidi" w:hAnsiTheme="majorBidi" w:cstheme="majorBidi"/>
          <w:sz w:val="28"/>
          <w:szCs w:val="28"/>
          <w:lang w:val="en-US"/>
        </w:rPr>
      </w:pPr>
      <w:r w:rsidRPr="000A4363">
        <w:rPr>
          <w:rFonts w:asciiTheme="majorBidi" w:hAnsiTheme="majorBidi" w:cstheme="majorBidi"/>
          <w:sz w:val="28"/>
          <w:szCs w:val="28"/>
          <w:lang w:val="en-US"/>
        </w:rPr>
        <w:t xml:space="preserve">Bonhoeffer S., </w:t>
      </w:r>
      <w:proofErr w:type="spellStart"/>
      <w:r w:rsidRPr="000A4363">
        <w:rPr>
          <w:rFonts w:asciiTheme="majorBidi" w:hAnsiTheme="majorBidi" w:cstheme="majorBidi"/>
          <w:sz w:val="28"/>
          <w:szCs w:val="28"/>
          <w:lang w:val="en-US"/>
        </w:rPr>
        <w:t>Lipsitch</w:t>
      </w:r>
      <w:proofErr w:type="spellEnd"/>
      <w:r w:rsidRPr="000A4363">
        <w:rPr>
          <w:rFonts w:asciiTheme="majorBidi" w:hAnsiTheme="majorBidi" w:cstheme="majorBidi"/>
          <w:sz w:val="28"/>
          <w:szCs w:val="28"/>
          <w:lang w:val="en-US"/>
        </w:rPr>
        <w:t xml:space="preserve"> M. and Levin B.R.- Evaluating Treatment Protocols to Prevent Antibiotic Resistance. Proceedings of the National Academy of Sciences USA, 1997.</w:t>
      </w:r>
    </w:p>
    <w:p w14:paraId="0C83C17D" w14:textId="355DFDC1" w:rsidR="000A4363" w:rsidRPr="000A4363" w:rsidRDefault="000A4363" w:rsidP="000A4363">
      <w:pPr>
        <w:pStyle w:val="font-claude-response-body"/>
        <w:numPr>
          <w:ilvl w:val="0"/>
          <w:numId w:val="1"/>
        </w:numPr>
        <w:rPr>
          <w:sz w:val="28"/>
          <w:szCs w:val="28"/>
        </w:rPr>
      </w:pPr>
      <w:r w:rsidRPr="000A4363">
        <w:rPr>
          <w:sz w:val="28"/>
          <w:szCs w:val="28"/>
        </w:rPr>
        <w:t>Blanchard, P., Devaney, R.L., Hall, G.R. (2012)</w:t>
      </w:r>
      <w:r>
        <w:rPr>
          <w:sz w:val="28"/>
          <w:szCs w:val="28"/>
        </w:rPr>
        <w:t xml:space="preserve"> -</w:t>
      </w:r>
      <w:r w:rsidRPr="000A4363">
        <w:rPr>
          <w:sz w:val="28"/>
          <w:szCs w:val="28"/>
        </w:rPr>
        <w:t xml:space="preserve"> Differential Equations, 4th Ed. Boston, USA: Brooks/Cole, Cengage Learning.</w:t>
      </w:r>
    </w:p>
    <w:p w14:paraId="35A29D92" w14:textId="38BED9F4" w:rsidR="000A4363" w:rsidRPr="000A4363" w:rsidRDefault="000A4363" w:rsidP="000A4363">
      <w:pPr>
        <w:pStyle w:val="font-claude-response-body"/>
        <w:numPr>
          <w:ilvl w:val="0"/>
          <w:numId w:val="1"/>
        </w:numPr>
        <w:rPr>
          <w:sz w:val="28"/>
          <w:szCs w:val="28"/>
        </w:rPr>
      </w:pPr>
      <w:proofErr w:type="spellStart"/>
      <w:r w:rsidRPr="000A4363">
        <w:rPr>
          <w:sz w:val="28"/>
          <w:szCs w:val="28"/>
        </w:rPr>
        <w:t>Idels</w:t>
      </w:r>
      <w:proofErr w:type="spellEnd"/>
      <w:r w:rsidRPr="000A4363">
        <w:rPr>
          <w:sz w:val="28"/>
          <w:szCs w:val="28"/>
        </w:rPr>
        <w:t>, L.V. &amp; Wang, M. 2008</w:t>
      </w:r>
      <w:r>
        <w:rPr>
          <w:sz w:val="28"/>
          <w:szCs w:val="28"/>
        </w:rPr>
        <w:t xml:space="preserve"> - </w:t>
      </w:r>
      <w:r w:rsidRPr="000A4363">
        <w:rPr>
          <w:sz w:val="28"/>
          <w:szCs w:val="28"/>
        </w:rPr>
        <w:t>Harvesting fisheries management strategies with modified effort function. International Journal Modelling, Identification and Control 3: 83-87</w:t>
      </w:r>
    </w:p>
    <w:p w14:paraId="3A83B69E" w14:textId="225BD83B" w:rsidR="000A4363" w:rsidRPr="000A4363" w:rsidRDefault="000A4363" w:rsidP="000A4363">
      <w:pPr>
        <w:pStyle w:val="font-claude-response-body"/>
        <w:numPr>
          <w:ilvl w:val="0"/>
          <w:numId w:val="1"/>
        </w:numPr>
        <w:rPr>
          <w:sz w:val="28"/>
          <w:szCs w:val="28"/>
        </w:rPr>
      </w:pPr>
      <w:r w:rsidRPr="000A4363">
        <w:rPr>
          <w:sz w:val="28"/>
          <w:szCs w:val="28"/>
        </w:rPr>
        <w:t>Jing, W. &amp; Ke, W. 2004a</w:t>
      </w:r>
      <w:r>
        <w:rPr>
          <w:sz w:val="28"/>
          <w:szCs w:val="28"/>
        </w:rPr>
        <w:t xml:space="preserve"> </w:t>
      </w:r>
      <w:proofErr w:type="gramStart"/>
      <w:r>
        <w:rPr>
          <w:sz w:val="28"/>
          <w:szCs w:val="28"/>
        </w:rPr>
        <w:t xml:space="preserve">- </w:t>
      </w:r>
      <w:r w:rsidRPr="000A4363">
        <w:rPr>
          <w:sz w:val="28"/>
          <w:szCs w:val="28"/>
        </w:rPr>
        <w:t xml:space="preserve"> Optimal</w:t>
      </w:r>
      <w:proofErr w:type="gramEnd"/>
      <w:r w:rsidRPr="000A4363">
        <w:rPr>
          <w:sz w:val="28"/>
          <w:szCs w:val="28"/>
        </w:rPr>
        <w:t xml:space="preserve"> control of harvesting for single population. Applied Mathematics and Computation 156: 235-247</w:t>
      </w:r>
    </w:p>
    <w:p w14:paraId="6A01974C" w14:textId="20A4CF09" w:rsidR="000A4363" w:rsidRPr="000A4363" w:rsidRDefault="000A4363" w:rsidP="000A4363">
      <w:pPr>
        <w:pStyle w:val="font-claude-response-body"/>
        <w:numPr>
          <w:ilvl w:val="0"/>
          <w:numId w:val="1"/>
        </w:numPr>
        <w:rPr>
          <w:sz w:val="28"/>
          <w:szCs w:val="28"/>
        </w:rPr>
      </w:pPr>
      <w:r w:rsidRPr="000A4363">
        <w:rPr>
          <w:sz w:val="28"/>
          <w:szCs w:val="28"/>
        </w:rPr>
        <w:t>Jing, W. &amp; Ke, W. 2004b</w:t>
      </w:r>
      <w:r>
        <w:rPr>
          <w:sz w:val="28"/>
          <w:szCs w:val="28"/>
        </w:rPr>
        <w:t xml:space="preserve"> - </w:t>
      </w:r>
      <w:r w:rsidRPr="000A4363">
        <w:rPr>
          <w:sz w:val="28"/>
          <w:szCs w:val="28"/>
        </w:rPr>
        <w:t xml:space="preserve">The optimal harvesting problems of a stage-structured population. Applied Mathematics and Computation </w:t>
      </w:r>
      <w:r>
        <w:rPr>
          <w:sz w:val="28"/>
          <w:szCs w:val="28"/>
        </w:rPr>
        <w:t>/</w:t>
      </w:r>
    </w:p>
    <w:p w14:paraId="5A163EE3" w14:textId="55425B9D" w:rsidR="000A4363" w:rsidRPr="000A4363" w:rsidRDefault="000A4363" w:rsidP="000A4363">
      <w:pPr>
        <w:pStyle w:val="font-claude-response-body"/>
        <w:numPr>
          <w:ilvl w:val="0"/>
          <w:numId w:val="1"/>
        </w:numPr>
        <w:rPr>
          <w:sz w:val="28"/>
          <w:szCs w:val="28"/>
        </w:rPr>
      </w:pPr>
      <w:r w:rsidRPr="000A4363">
        <w:rPr>
          <w:sz w:val="28"/>
          <w:szCs w:val="28"/>
        </w:rPr>
        <w:t>John, W., Pamela, M. &amp; Eric, T. 2005</w:t>
      </w:r>
      <w:r>
        <w:rPr>
          <w:sz w:val="28"/>
          <w:szCs w:val="28"/>
        </w:rPr>
        <w:t xml:space="preserve"> - </w:t>
      </w:r>
      <w:r w:rsidRPr="000A4363">
        <w:rPr>
          <w:sz w:val="28"/>
          <w:szCs w:val="28"/>
        </w:rPr>
        <w:t>The relationship of fish harvesting capacity to excess capacity and overcapacity. Marine Resource Economics 19: 525-529.</w:t>
      </w:r>
    </w:p>
    <w:p w14:paraId="2277631B" w14:textId="7BEB8EC3" w:rsidR="000A4363" w:rsidRPr="000A4363" w:rsidRDefault="000A4363" w:rsidP="000A4363">
      <w:pPr>
        <w:pStyle w:val="font-claude-response-body"/>
        <w:numPr>
          <w:ilvl w:val="0"/>
          <w:numId w:val="1"/>
        </w:numPr>
        <w:rPr>
          <w:sz w:val="28"/>
          <w:szCs w:val="28"/>
        </w:rPr>
      </w:pPr>
      <w:r w:rsidRPr="000A4363">
        <w:rPr>
          <w:sz w:val="28"/>
          <w:szCs w:val="28"/>
        </w:rPr>
        <w:t>Li, W. &amp; Wang, K. 2010</w:t>
      </w:r>
      <w:r w:rsidR="00CE5147">
        <w:rPr>
          <w:sz w:val="28"/>
          <w:szCs w:val="28"/>
        </w:rPr>
        <w:t xml:space="preserve"> - </w:t>
      </w:r>
      <w:r w:rsidRPr="000A4363">
        <w:rPr>
          <w:sz w:val="28"/>
          <w:szCs w:val="28"/>
        </w:rPr>
        <w:t>Optimal harvesting policy for general stochastic logistic population model. Journal of Mathematical Analysis and Applications 368: 420-428</w:t>
      </w:r>
    </w:p>
    <w:p w14:paraId="5921D813" w14:textId="24ED914F" w:rsidR="000A4363" w:rsidRPr="000A4363" w:rsidRDefault="000A4363" w:rsidP="000A4363">
      <w:pPr>
        <w:pStyle w:val="font-claude-response-body"/>
        <w:numPr>
          <w:ilvl w:val="0"/>
          <w:numId w:val="1"/>
        </w:numPr>
        <w:rPr>
          <w:sz w:val="28"/>
          <w:szCs w:val="28"/>
        </w:rPr>
      </w:pPr>
      <w:r w:rsidRPr="000A4363">
        <w:rPr>
          <w:sz w:val="28"/>
          <w:szCs w:val="28"/>
        </w:rPr>
        <w:t>Ludwig, D. 2001</w:t>
      </w:r>
      <w:r w:rsidR="00EE7B30">
        <w:rPr>
          <w:sz w:val="28"/>
          <w:szCs w:val="28"/>
        </w:rPr>
        <w:t xml:space="preserve"> - </w:t>
      </w:r>
      <w:r w:rsidRPr="000A4363">
        <w:rPr>
          <w:sz w:val="28"/>
          <w:szCs w:val="28"/>
        </w:rPr>
        <w:t>A theory of sustainable harvesting. SIAM. J. On Appl. Math. 55: 564-575.</w:t>
      </w:r>
    </w:p>
    <w:p w14:paraId="58743109" w14:textId="77777777" w:rsidR="001C2FAF" w:rsidRPr="000A4363" w:rsidRDefault="001C2FAF" w:rsidP="001C2FAF">
      <w:pPr>
        <w:rPr>
          <w:rFonts w:asciiTheme="majorBidi" w:hAnsiTheme="majorBidi" w:cstheme="majorBidi"/>
          <w:sz w:val="24"/>
          <w:szCs w:val="24"/>
          <w:lang w:val="en-US"/>
        </w:rPr>
      </w:pPr>
    </w:p>
    <w:sectPr w:rsidR="001C2FAF" w:rsidRPr="000A4363" w:rsidSect="001C2FAF">
      <w:footerReference w:type="default" r:id="rId7"/>
      <w:pgSz w:w="12240" w:h="15840"/>
      <w:pgMar w:top="1440" w:right="1440" w:bottom="1440" w:left="1440" w:header="720" w:footer="720" w:gutter="0"/>
      <w:pgNumType w:start="64"/>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8466B0" w14:textId="77777777" w:rsidR="00AE56CF" w:rsidRDefault="00AE56CF" w:rsidP="001C2FAF">
      <w:pPr>
        <w:spacing w:line="240" w:lineRule="auto"/>
      </w:pPr>
      <w:r>
        <w:separator/>
      </w:r>
    </w:p>
  </w:endnote>
  <w:endnote w:type="continuationSeparator" w:id="0">
    <w:p w14:paraId="03AA0B6C" w14:textId="77777777" w:rsidR="00AE56CF" w:rsidRDefault="00AE56CF" w:rsidP="001C2FA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265AD94D-F7E3-4B3B-8842-95004AA05FEA}"/>
  </w:font>
  <w:font w:name="Cambria">
    <w:panose1 w:val="02040503050406030204"/>
    <w:charset w:val="00"/>
    <w:family w:val="roman"/>
    <w:pitch w:val="variable"/>
    <w:sig w:usb0="E00006FF" w:usb1="420024FF" w:usb2="02000000" w:usb3="00000000" w:csb0="0000019F" w:csb1="00000000"/>
    <w:embedRegular r:id="rId2" w:fontKey="{2E37A62A-1823-4B27-8BA1-5936001F2174}"/>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50610190"/>
      <w:docPartObj>
        <w:docPartGallery w:val="Page Numbers (Bottom of Page)"/>
        <w:docPartUnique/>
      </w:docPartObj>
    </w:sdtPr>
    <w:sdtEndPr>
      <w:rPr>
        <w:noProof/>
      </w:rPr>
    </w:sdtEndPr>
    <w:sdtContent>
      <w:p w14:paraId="5CAD9095" w14:textId="0B50D5D3" w:rsidR="001C2FAF" w:rsidRDefault="001C2FAF">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5B8AB61E" w14:textId="77777777" w:rsidR="001C2FAF" w:rsidRDefault="001C2FA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30EA61" w14:textId="77777777" w:rsidR="00AE56CF" w:rsidRDefault="00AE56CF" w:rsidP="001C2FAF">
      <w:pPr>
        <w:spacing w:line="240" w:lineRule="auto"/>
      </w:pPr>
      <w:r>
        <w:separator/>
      </w:r>
    </w:p>
  </w:footnote>
  <w:footnote w:type="continuationSeparator" w:id="0">
    <w:p w14:paraId="41C2C84A" w14:textId="77777777" w:rsidR="00AE56CF" w:rsidRDefault="00AE56CF" w:rsidP="001C2FAF">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CFC3E4B"/>
    <w:multiLevelType w:val="multilevel"/>
    <w:tmpl w:val="E97837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4BBC2FD9"/>
    <w:multiLevelType w:val="multilevel"/>
    <w:tmpl w:val="B89234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DD41517"/>
    <w:multiLevelType w:val="multilevel"/>
    <w:tmpl w:val="AEF202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825586094">
    <w:abstractNumId w:val="0"/>
  </w:num>
  <w:num w:numId="2" w16cid:durableId="1799031542">
    <w:abstractNumId w:val="1"/>
  </w:num>
  <w:num w:numId="3" w16cid:durableId="171253071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D04F1"/>
    <w:rsid w:val="000A4363"/>
    <w:rsid w:val="000C5859"/>
    <w:rsid w:val="001C2FAF"/>
    <w:rsid w:val="004C57D0"/>
    <w:rsid w:val="00971595"/>
    <w:rsid w:val="00AE56CF"/>
    <w:rsid w:val="00C14304"/>
    <w:rsid w:val="00CD31F9"/>
    <w:rsid w:val="00CE5147"/>
    <w:rsid w:val="00DD04F1"/>
    <w:rsid w:val="00EE7B3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DA8143"/>
  <w15:docId w15:val="{C0DEC997-81F2-4E98-A765-E4546E875C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Header">
    <w:name w:val="header"/>
    <w:basedOn w:val="Normal"/>
    <w:link w:val="HeaderChar"/>
    <w:uiPriority w:val="99"/>
    <w:unhideWhenUsed/>
    <w:rsid w:val="001C2FAF"/>
    <w:pPr>
      <w:tabs>
        <w:tab w:val="center" w:pos="4680"/>
        <w:tab w:val="right" w:pos="9360"/>
      </w:tabs>
      <w:spacing w:line="240" w:lineRule="auto"/>
    </w:pPr>
  </w:style>
  <w:style w:type="character" w:customStyle="1" w:styleId="HeaderChar">
    <w:name w:val="Header Char"/>
    <w:basedOn w:val="DefaultParagraphFont"/>
    <w:link w:val="Header"/>
    <w:uiPriority w:val="99"/>
    <w:rsid w:val="001C2FAF"/>
  </w:style>
  <w:style w:type="paragraph" w:styleId="Footer">
    <w:name w:val="footer"/>
    <w:basedOn w:val="Normal"/>
    <w:link w:val="FooterChar"/>
    <w:uiPriority w:val="99"/>
    <w:unhideWhenUsed/>
    <w:rsid w:val="001C2FAF"/>
    <w:pPr>
      <w:tabs>
        <w:tab w:val="center" w:pos="4680"/>
        <w:tab w:val="right" w:pos="9360"/>
      </w:tabs>
      <w:spacing w:line="240" w:lineRule="auto"/>
    </w:pPr>
  </w:style>
  <w:style w:type="character" w:customStyle="1" w:styleId="FooterChar">
    <w:name w:val="Footer Char"/>
    <w:basedOn w:val="DefaultParagraphFont"/>
    <w:link w:val="Footer"/>
    <w:uiPriority w:val="99"/>
    <w:rsid w:val="001C2FAF"/>
  </w:style>
  <w:style w:type="paragraph" w:styleId="NormalWeb">
    <w:name w:val="Normal (Web)"/>
    <w:basedOn w:val="Normal"/>
    <w:uiPriority w:val="99"/>
    <w:semiHidden/>
    <w:unhideWhenUsed/>
    <w:rsid w:val="000A4363"/>
    <w:pPr>
      <w:spacing w:before="100" w:beforeAutospacing="1" w:after="100" w:afterAutospacing="1" w:line="240" w:lineRule="auto"/>
    </w:pPr>
    <w:rPr>
      <w:rFonts w:ascii="Times New Roman" w:eastAsia="Times New Roman" w:hAnsi="Times New Roman" w:cs="Times New Roman"/>
      <w:sz w:val="24"/>
      <w:szCs w:val="24"/>
      <w:lang w:val="en-US"/>
    </w:rPr>
  </w:style>
  <w:style w:type="character" w:styleId="Strong">
    <w:name w:val="Strong"/>
    <w:basedOn w:val="DefaultParagraphFont"/>
    <w:uiPriority w:val="22"/>
    <w:qFormat/>
    <w:rsid w:val="000A4363"/>
    <w:rPr>
      <w:b/>
      <w:bCs/>
    </w:rPr>
  </w:style>
  <w:style w:type="paragraph" w:customStyle="1" w:styleId="font-claude-response-body">
    <w:name w:val="font-claude-response-body"/>
    <w:basedOn w:val="Normal"/>
    <w:rsid w:val="000A4363"/>
    <w:pPr>
      <w:spacing w:before="100" w:beforeAutospacing="1" w:after="100" w:afterAutospacing="1" w:line="240" w:lineRule="auto"/>
    </w:pPr>
    <w:rPr>
      <w:rFonts w:ascii="Times New Roman" w:eastAsia="Times New Roman" w:hAnsi="Times New Roman" w:cs="Times New Roman"/>
      <w:sz w:val="24"/>
      <w:szCs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16</TotalTime>
  <Pages>2</Pages>
  <Words>594</Words>
  <Characters>3390</Characters>
  <Application>Microsoft Office Word</Application>
  <DocSecurity>0</DocSecurity>
  <Lines>28</Lines>
  <Paragraphs>7</Paragraphs>
  <ScaleCrop>false</ScaleCrop>
  <Company/>
  <LinksUpToDate>false</LinksUpToDate>
  <CharactersWithSpaces>3977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Shakib hasan</cp:lastModifiedBy>
  <cp:revision>10</cp:revision>
  <dcterms:created xsi:type="dcterms:W3CDTF">2026-05-06T01:46:00Z</dcterms:created>
  <dcterms:modified xsi:type="dcterms:W3CDTF">2026-05-06T03:05:00Z</dcterms:modified>
</cp:coreProperties>
</file>