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before="0"/>
        <w:jc w:val="center"/>
      </w:pPr>
      <w:r>
        <w:rPr>
          <w:rFonts w:ascii="Arial" w:cs="Arial" w:eastAsia="Arial" w:hAnsi="Arial"/>
          <w:b/>
          <w:bCs/>
          <w:color w:val="1F4E8C"/>
          <w:sz w:val="72"/>
          <w:szCs w:val="72"/>
        </w:rPr>
        <w:t xml:space="preserve">A-GRID</w:t>
      </w:r>
    </w:p>
    <w:p>
      <w:pPr>
        <w:spacing w:after="200" w:before="0"/>
        <w:jc w:val="center"/>
      </w:pPr>
      <w:r>
        <w:rPr>
          <w:rFonts w:ascii="Arial" w:cs="Arial" w:eastAsia="Arial" w:hAnsi="Arial"/>
          <w:color w:val="2E75B6"/>
          <w:sz w:val="36"/>
          <w:szCs w:val="36"/>
        </w:rPr>
        <w:t xml:space="preserve">SmartGrid Monitoring &amp; Fault Detection System</w:t>
      </w:r>
    </w:p>
    <w:p>
      <w:pPr>
        <w:pBdr>
          <w:bottom w:val="single" w:color="2E75B6" w:sz="6" w:space="6"/>
        </w:pBdr>
        <w:spacing w:after="200" w:before="0"/>
        <w:jc w:val="center"/>
      </w:pPr>
      <w:r>
        <w:rPr>
          <w:rFonts w:ascii="Arial" w:cs="Arial" w:eastAsia="Arial" w:hAnsi="Arial"/>
          <w:i/>
          <w:iCs/>
          <w:color w:val="555555"/>
          <w:sz w:val="28"/>
          <w:szCs w:val="28"/>
        </w:rPr>
        <w:t xml:space="preserve">Using AI and PoA² Blockchain</w:t>
      </w:r>
    </w:p>
    <w:p>
      <w:pPr>
        <w:spacing w:after="80" w:before="200"/>
        <w:jc w:val="center"/>
      </w:pPr>
      <w:r>
        <w:rPr>
          <w:rFonts w:ascii="Arial" w:cs="Arial" w:eastAsia="Arial" w:hAnsi="Arial"/>
          <w:b/>
          <w:bCs/>
          <w:color w:val="1A1A2E"/>
          <w:sz w:val="24"/>
          <w:szCs w:val="24"/>
        </w:rPr>
        <w:t xml:space="preserve">Hackathon Project Proposal</w:t>
      </w:r>
    </w:p>
    <w:p>
      <w:pPr>
        <w:spacing w:after="40" w:before="40"/>
        <w:jc w:val="center"/>
      </w:pPr>
      <w:r>
        <w:rPr>
          <w:rFonts w:ascii="Arial" w:cs="Arial" w:eastAsia="Arial" w:hAnsi="Arial"/>
          <w:color w:val="888888"/>
          <w:sz w:val="22"/>
          <w:szCs w:val="22"/>
        </w:rPr>
        <w:t xml:space="preserve">Version 1.0  |  2025</w:t>
      </w:r>
    </w:p>
    <w:p>
      <w:r>
        <w:br w:type="page"/>
      </w:r>
    </w:p>
    <w:p>
      <w:pPr>
        <w:pStyle w:val="Heading1"/>
        <w:pBdr>
          <w:bottom w:val="single" w:color="2E75B6" w:sz="6" w:space="4"/>
        </w:pBdr>
        <w:spacing w:after="160" w:before="320"/>
      </w:pPr>
      <w:r>
        <w:rPr>
          <w:rFonts w:ascii="Arial" w:cs="Arial" w:eastAsia="Arial" w:hAnsi="Arial"/>
          <w:b/>
          <w:bCs/>
          <w:color w:val="1F4E8C"/>
          <w:sz w:val="30"/>
          <w:szCs w:val="30"/>
        </w:rPr>
        <w:t xml:space="preserve">1. Executive Summary</w:t>
      </w:r>
    </w:p>
    <w:p>
      <w:pPr>
        <w:spacing w:after="80" w:before="80"/>
      </w:pPr>
      <w:r>
        <w:rPr>
          <w:rFonts w:ascii="Arial" w:cs="Arial" w:eastAsia="Arial" w:hAnsi="Arial"/>
          <w:color w:val="2D2D2D"/>
          <w:sz w:val="22"/>
          <w:szCs w:val="22"/>
        </w:rPr>
        <w:t xml:space="preserve">A-Grid is a hybrid AI-blockchain framework designed to bring real-time intelligence and data integrity to modern power grid infrastructure. As global energy networks grow more complex, the systems responsible for monitoring them have failed to keep pace — leaving utilities exposed to billions in losses from undetected faults, energy theft, and manipulated meter data.</w:t>
      </w:r>
    </w:p>
    <w:p>
      <w:pPr>
        <w:spacing w:after="80" w:before="80"/>
      </w:pPr>
    </w:p>
    <w:p>
      <w:pPr>
        <w:spacing w:after="80" w:before="80"/>
      </w:pPr>
      <w:r>
        <w:rPr>
          <w:rFonts w:ascii="Arial" w:cs="Arial" w:eastAsia="Arial" w:hAnsi="Arial"/>
          <w:color w:val="2D2D2D"/>
          <w:sz w:val="22"/>
          <w:szCs w:val="22"/>
        </w:rPr>
        <w:t xml:space="preserve">A-Grid addresses these gaps through three tightly integrated layers: an Edge Intelligence Layer powered by machine learning for millisecond-level fault detection, a Data Trust Layer that validates sensor data before it ever reaches the blockchain, and a Blockchain Trust Layer using PoA² consensus to create an immutable, auditable record of all system events.</w:t>
      </w:r>
    </w:p>
    <w:p>
      <w:pPr>
        <w:spacing w:after="80" w:before="80"/>
      </w:pPr>
    </w:p>
    <w:p>
      <w:pPr>
        <w:spacing w:after="80" w:before="80"/>
      </w:pPr>
      <w:r>
        <w:rPr>
          <w:rFonts w:ascii="Arial" w:cs="Arial" w:eastAsia="Arial" w:hAnsi="Arial"/>
          <w:color w:val="2D2D2D"/>
          <w:sz w:val="22"/>
          <w:szCs w:val="22"/>
        </w:rPr>
        <w:t xml:space="preserve">This proposal outlines the technical architecture, implementation roadmap, performance targets, and commercial potential of the A-Grid system, built for rapid prototyping and real-world validation.</w:t>
      </w:r>
    </w:p>
    <w:p>
      <w:pPr>
        <w:spacing w:after="80" w:before="80"/>
      </w:pPr>
    </w:p>
    <w:p>
      <w:pPr>
        <w:pStyle w:val="Heading1"/>
        <w:pBdr>
          <w:bottom w:val="single" w:color="2E75B6" w:sz="6" w:space="4"/>
        </w:pBdr>
        <w:spacing w:after="160" w:before="320"/>
      </w:pPr>
      <w:r>
        <w:rPr>
          <w:rFonts w:ascii="Arial" w:cs="Arial" w:eastAsia="Arial" w:hAnsi="Arial"/>
          <w:b/>
          <w:bCs/>
          <w:color w:val="1F4E8C"/>
          <w:sz w:val="30"/>
          <w:szCs w:val="30"/>
        </w:rPr>
        <w:t xml:space="preserve">2. Problem Statement</w:t>
      </w:r>
    </w:p>
    <w:p>
      <w:pPr>
        <w:spacing w:after="80" w:before="80"/>
      </w:pPr>
      <w:r>
        <w:rPr>
          <w:rFonts w:ascii="Arial" w:cs="Arial" w:eastAsia="Arial" w:hAnsi="Arial"/>
          <w:color w:val="2D2D2D"/>
          <w:sz w:val="22"/>
          <w:szCs w:val="22"/>
        </w:rPr>
        <w:t xml:space="preserve">The global power sector loses over $96 billion annually due to Non-Technical Loss (NTL) and undetected equipment faults. Despite advances in smart metering and grid digitization, the monitoring infrastructure protecting these systems remains fundamentally flawed. Three core problems undermine existing solutions:</w:t>
      </w:r>
    </w:p>
    <w:p>
      <w:pPr>
        <w:spacing w:after="80" w:before="80"/>
      </w:pPr>
    </w:p>
    <w:p>
      <w:pPr>
        <w:pStyle w:val="Heading3"/>
        <w:spacing w:after="80" w:before="180"/>
      </w:pPr>
      <w:r>
        <w:rPr>
          <w:rFonts w:ascii="Arial" w:cs="Arial" w:eastAsia="Arial" w:hAnsi="Arial"/>
          <w:b/>
          <w:bCs/>
          <w:color w:val="1A1A2E"/>
          <w:sz w:val="22"/>
          <w:szCs w:val="22"/>
        </w:rPr>
        <w:t xml:space="preserve">2.1 Data Integrity (The Oracle Problem)</w:t>
      </w:r>
    </w:p>
    <w:p>
      <w:pPr>
        <w:spacing w:after="80" w:before="80"/>
      </w:pPr>
      <w:r>
        <w:rPr>
          <w:rFonts w:ascii="Arial" w:cs="Arial" w:eastAsia="Arial" w:hAnsi="Arial"/>
          <w:color w:val="2D2D2D"/>
          <w:sz w:val="22"/>
          <w:szCs w:val="22"/>
        </w:rPr>
        <w:t xml:space="preserve">Up to 90% of smart meter data is vulnerable to manipulation before it reaches backend systems. Without a validated, tamper-evident pipeline, any analytics built on top of raw sensor data inherits this fundamental untrustworthiness.</w:t>
      </w:r>
    </w:p>
    <w:p>
      <w:pPr>
        <w:spacing w:after="80" w:before="80"/>
      </w:pPr>
    </w:p>
    <w:p>
      <w:pPr>
        <w:pStyle w:val="Heading3"/>
        <w:spacing w:after="80" w:before="180"/>
      </w:pPr>
      <w:r>
        <w:rPr>
          <w:rFonts w:ascii="Arial" w:cs="Arial" w:eastAsia="Arial" w:hAnsi="Arial"/>
          <w:b/>
          <w:bCs/>
          <w:color w:val="1A1A2E"/>
          <w:sz w:val="22"/>
          <w:szCs w:val="22"/>
        </w:rPr>
        <w:t xml:space="preserve">2.2 Response Latency</w:t>
      </w:r>
    </w:p>
    <w:p>
      <w:pPr>
        <w:spacing w:after="80" w:before="80"/>
      </w:pPr>
      <w:r>
        <w:rPr>
          <w:rFonts w:ascii="Arial" w:cs="Arial" w:eastAsia="Arial" w:hAnsi="Arial"/>
          <w:color w:val="2D2D2D"/>
          <w:sz w:val="22"/>
          <w:szCs w:val="22"/>
        </w:rPr>
        <w:t xml:space="preserve">Centralized monitoring architectures introduce delays of minutes or longer before a fault is identified and flagged. In practice, grid faults cause damage in milliseconds — meaning most systems are responding to damage that has already occurred rather than preventing it.</w:t>
      </w:r>
    </w:p>
    <w:p>
      <w:pPr>
        <w:spacing w:after="80" w:before="80"/>
      </w:pPr>
    </w:p>
    <w:p>
      <w:pPr>
        <w:pStyle w:val="Heading3"/>
        <w:spacing w:after="80" w:before="180"/>
      </w:pPr>
      <w:r>
        <w:rPr>
          <w:rFonts w:ascii="Arial" w:cs="Arial" w:eastAsia="Arial" w:hAnsi="Arial"/>
          <w:b/>
          <w:bCs/>
          <w:color w:val="1A1A2E"/>
          <w:sz w:val="22"/>
          <w:szCs w:val="22"/>
        </w:rPr>
        <w:t xml:space="preserve">2.3 Absence of Trusted Audit Records</w:t>
      </w:r>
    </w:p>
    <w:p>
      <w:pPr>
        <w:spacing w:after="80" w:before="80"/>
      </w:pPr>
      <w:r>
        <w:rPr>
          <w:rFonts w:ascii="Arial" w:cs="Arial" w:eastAsia="Arial" w:hAnsi="Arial"/>
          <w:color w:val="2D2D2D"/>
          <w:sz w:val="22"/>
          <w:szCs w:val="22"/>
        </w:rPr>
        <w:t xml:space="preserve">There is no widely adopted tamper-proof system for recording fault events, energy anomalies, or system states. This creates major barriers for insurance claims, regulatory compliance, and post-incident forensic analysis.</w:t>
      </w:r>
    </w:p>
    <w:p>
      <w:pPr>
        <w:spacing w:after="80" w:before="80"/>
      </w:pPr>
    </w:p>
    <w:p>
      <w:pPr>
        <w:pStyle w:val="Heading1"/>
        <w:pBdr>
          <w:bottom w:val="single" w:color="2E75B6" w:sz="6" w:space="4"/>
        </w:pBdr>
        <w:spacing w:after="160" w:before="320"/>
      </w:pPr>
      <w:r>
        <w:rPr>
          <w:rFonts w:ascii="Arial" w:cs="Arial" w:eastAsia="Arial" w:hAnsi="Arial"/>
          <w:b/>
          <w:bCs/>
          <w:color w:val="1F4E8C"/>
          <w:sz w:val="30"/>
          <w:szCs w:val="30"/>
        </w:rPr>
        <w:t xml:space="preserve">3. Proposed Solution: The A-Grid Framework</w:t>
      </w:r>
    </w:p>
    <w:p>
      <w:pPr>
        <w:spacing w:after="80" w:before="80"/>
      </w:pPr>
      <w:r>
        <w:rPr>
          <w:rFonts w:ascii="Arial" w:cs="Arial" w:eastAsia="Arial" w:hAnsi="Arial"/>
          <w:color w:val="2D2D2D"/>
          <w:sz w:val="22"/>
          <w:szCs w:val="22"/>
        </w:rPr>
        <w:t xml:space="preserve">A-Grid introduces a four-layer architecture that moves intelligence to the edge, validates data at source, and anchors every event to an immutable blockchain record. Each layer is independently functional while being designed for seamless integration.</w:t>
      </w:r>
    </w:p>
    <w:p>
      <w:pPr>
        <w:spacing w:after="80" w:before="80"/>
      </w:pPr>
    </w:p>
    <w:p>
      <w:pPr>
        <w:pStyle w:val="Heading2"/>
        <w:spacing w:after="120" w:before="240"/>
      </w:pPr>
      <w:r>
        <w:rPr>
          <w:rFonts w:ascii="Arial" w:cs="Arial" w:eastAsia="Arial" w:hAnsi="Arial"/>
          <w:b/>
          <w:bCs/>
          <w:color w:val="2E75B6"/>
          <w:sz w:val="24"/>
          <w:szCs w:val="24"/>
        </w:rPr>
        <w:t xml:space="preserve">3.1 Data Trust Layer</w:t>
      </w:r>
    </w:p>
    <w:p>
      <w:pPr>
        <w:pStyle w:val="ListParagraph"/>
        <w:numPr>
          <w:ilvl w:val="0"/>
          <w:numId w:val="2"/>
        </w:numPr>
        <w:spacing w:after="60" w:before="60"/>
      </w:pPr>
      <w:r>
        <w:rPr>
          <w:rFonts w:ascii="Arial" w:cs="Arial" w:eastAsia="Arial" w:hAnsi="Arial"/>
          <w:color w:val="2D2D2D"/>
          <w:sz w:val="22"/>
          <w:szCs w:val="22"/>
        </w:rPr>
        <w:t xml:space="preserve">Software-based validation runs at ingestion, ensuring data integrity before blockchain submission</w:t>
      </w:r>
    </w:p>
    <w:p>
      <w:pPr>
        <w:pStyle w:val="ListParagraph"/>
        <w:numPr>
          <w:ilvl w:val="0"/>
          <w:numId w:val="2"/>
        </w:numPr>
        <w:spacing w:after="60" w:before="60"/>
      </w:pPr>
      <w:r>
        <w:rPr>
          <w:rFonts w:ascii="Arial" w:cs="Arial" w:eastAsia="Arial" w:hAnsi="Arial"/>
          <w:color w:val="2D2D2D"/>
          <w:sz w:val="22"/>
          <w:szCs w:val="22"/>
        </w:rPr>
        <w:t xml:space="preserve">TEE-ready design allows future integration of hardware-level security (e.g., Trusted Execution Environments)</w:t>
      </w:r>
    </w:p>
    <w:p>
      <w:pPr>
        <w:pStyle w:val="ListParagraph"/>
        <w:numPr>
          <w:ilvl w:val="0"/>
          <w:numId w:val="2"/>
        </w:numPr>
        <w:spacing w:after="60" w:before="60"/>
      </w:pPr>
      <w:r>
        <w:rPr>
          <w:rFonts w:ascii="Arial" w:cs="Arial" w:eastAsia="Arial" w:hAnsi="Arial"/>
          <w:color w:val="2D2D2D"/>
          <w:sz w:val="22"/>
          <w:szCs w:val="22"/>
        </w:rPr>
        <w:t xml:space="preserve">Prevents corrupted or manipulated readings from polluting the audit chain</w:t>
      </w:r>
    </w:p>
    <w:p>
      <w:pPr>
        <w:spacing w:after="80" w:before="80"/>
      </w:pPr>
    </w:p>
    <w:p>
      <w:pPr>
        <w:pStyle w:val="Heading2"/>
        <w:spacing w:after="120" w:before="240"/>
      </w:pPr>
      <w:r>
        <w:rPr>
          <w:rFonts w:ascii="Arial" w:cs="Arial" w:eastAsia="Arial" w:hAnsi="Arial"/>
          <w:b/>
          <w:bCs/>
          <w:color w:val="2E75B6"/>
          <w:sz w:val="24"/>
          <w:szCs w:val="24"/>
        </w:rPr>
        <w:t xml:space="preserve">3.2 Edge Intelligence Layer (Core Innovation)</w:t>
      </w:r>
    </w:p>
    <w:p>
      <w:pPr>
        <w:pStyle w:val="ListParagraph"/>
        <w:numPr>
          <w:ilvl w:val="0"/>
          <w:numId w:val="2"/>
        </w:numPr>
        <w:spacing w:after="60" w:before="60"/>
      </w:pPr>
      <w:r>
        <w:rPr>
          <w:rFonts w:ascii="Arial" w:cs="Arial" w:eastAsia="Arial" w:hAnsi="Arial"/>
          <w:color w:val="2D2D2D"/>
          <w:sz w:val="22"/>
          <w:szCs w:val="22"/>
        </w:rPr>
        <w:t xml:space="preserve">AI-based anomaly detection using Isolation Forest (Phase 1) and LSTM (Phase 2)</w:t>
      </w:r>
    </w:p>
    <w:p>
      <w:pPr>
        <w:pStyle w:val="ListParagraph"/>
        <w:numPr>
          <w:ilvl w:val="0"/>
          <w:numId w:val="2"/>
        </w:numPr>
        <w:spacing w:after="60" w:before="60"/>
      </w:pPr>
      <w:r>
        <w:rPr>
          <w:rFonts w:ascii="Arial" w:cs="Arial" w:eastAsia="Arial" w:hAnsi="Arial"/>
          <w:color w:val="2D2D2D"/>
          <w:sz w:val="22"/>
          <w:szCs w:val="22"/>
        </w:rPr>
        <w:t xml:space="preserve">Fault detection runs locally at the edge — response time measured in milliseconds, not minutes</w:t>
      </w:r>
    </w:p>
    <w:p>
      <w:pPr>
        <w:pStyle w:val="ListParagraph"/>
        <w:numPr>
          <w:ilvl w:val="0"/>
          <w:numId w:val="2"/>
        </w:numPr>
        <w:spacing w:after="60" w:before="60"/>
      </w:pPr>
      <w:r>
        <w:rPr>
          <w:rFonts w:ascii="Arial" w:cs="Arial" w:eastAsia="Arial" w:hAnsi="Arial"/>
          <w:color w:val="2D2D2D"/>
          <w:sz w:val="22"/>
          <w:szCs w:val="22"/>
        </w:rPr>
        <w:t xml:space="preserve">Capable of identifying three primary fault categories:</w:t>
      </w:r>
    </w:p>
    <w:p>
      <w:pPr>
        <w:pStyle w:val="ListParagraph"/>
        <w:numPr>
          <w:ilvl w:val="1"/>
          <w:numId w:val="2"/>
        </w:numPr>
        <w:spacing w:after="60" w:before="60"/>
      </w:pPr>
      <w:r>
        <w:rPr>
          <w:rFonts w:ascii="Arial" w:cs="Arial" w:eastAsia="Arial" w:hAnsi="Arial"/>
          <w:color w:val="2D2D2D"/>
          <w:sz w:val="22"/>
          <w:szCs w:val="22"/>
        </w:rPr>
        <w:t xml:space="preserve">Voltage anomalies and instability</w:t>
      </w:r>
    </w:p>
    <w:p>
      <w:pPr>
        <w:pStyle w:val="ListParagraph"/>
        <w:numPr>
          <w:ilvl w:val="1"/>
          <w:numId w:val="2"/>
        </w:numPr>
        <w:spacing w:after="60" w:before="60"/>
      </w:pPr>
      <w:r>
        <w:rPr>
          <w:rFonts w:ascii="Arial" w:cs="Arial" w:eastAsia="Arial" w:hAnsi="Arial"/>
          <w:color w:val="2D2D2D"/>
          <w:sz w:val="22"/>
          <w:szCs w:val="22"/>
        </w:rPr>
        <w:t xml:space="preserve">Energy theft patterns and irregular consumption</w:t>
      </w:r>
    </w:p>
    <w:p>
      <w:pPr>
        <w:pStyle w:val="ListParagraph"/>
        <w:numPr>
          <w:ilvl w:val="1"/>
          <w:numId w:val="2"/>
        </w:numPr>
        <w:spacing w:after="60" w:before="60"/>
      </w:pPr>
      <w:r>
        <w:rPr>
          <w:rFonts w:ascii="Arial" w:cs="Arial" w:eastAsia="Arial" w:hAnsi="Arial"/>
          <w:color w:val="2D2D2D"/>
          <w:sz w:val="22"/>
          <w:szCs w:val="22"/>
        </w:rPr>
        <w:t xml:space="preserve">Equipment degradation and failure signatures</w:t>
      </w:r>
    </w:p>
    <w:p>
      <w:pPr>
        <w:spacing w:after="80" w:before="80"/>
      </w:pPr>
    </w:p>
    <w:p>
      <w:pPr>
        <w:pStyle w:val="Heading2"/>
        <w:spacing w:after="120" w:before="240"/>
      </w:pPr>
      <w:r>
        <w:rPr>
          <w:rFonts w:ascii="Arial" w:cs="Arial" w:eastAsia="Arial" w:hAnsi="Arial"/>
          <w:b/>
          <w:bCs/>
          <w:color w:val="2E75B6"/>
          <w:sz w:val="24"/>
          <w:szCs w:val="24"/>
        </w:rPr>
        <w:t xml:space="preserve">3.3 Blockchain Trust Layer</w:t>
      </w:r>
    </w:p>
    <w:p>
      <w:pPr>
        <w:pStyle w:val="ListParagraph"/>
        <w:numPr>
          <w:ilvl w:val="0"/>
          <w:numId w:val="2"/>
        </w:numPr>
        <w:spacing w:after="60" w:before="60"/>
      </w:pPr>
      <w:r>
        <w:rPr>
          <w:rFonts w:ascii="Arial" w:cs="Arial" w:eastAsia="Arial" w:hAnsi="Arial"/>
          <w:color w:val="2D2D2D"/>
          <w:sz w:val="22"/>
          <w:szCs w:val="22"/>
        </w:rPr>
        <w:t xml:space="preserve">Built on PoA² consensus via the Purechain Open Cloud network</w:t>
      </w:r>
    </w:p>
    <w:p>
      <w:pPr>
        <w:pStyle w:val="ListParagraph"/>
        <w:numPr>
          <w:ilvl w:val="0"/>
          <w:numId w:val="2"/>
        </w:numPr>
        <w:spacing w:after="60" w:before="60"/>
      </w:pPr>
      <w:r>
        <w:rPr>
          <w:rFonts w:ascii="Arial" w:cs="Arial" w:eastAsia="Arial" w:hAnsi="Arial"/>
          <w:color w:val="2D2D2D"/>
          <w:sz w:val="22"/>
          <w:szCs w:val="22"/>
        </w:rPr>
        <w:t xml:space="preserve">Records verified data hashes, fault events, and system state changes</w:t>
      </w:r>
    </w:p>
    <w:p>
      <w:pPr>
        <w:pStyle w:val="ListParagraph"/>
        <w:numPr>
          <w:ilvl w:val="0"/>
          <w:numId w:val="2"/>
        </w:numPr>
        <w:spacing w:after="60" w:before="60"/>
      </w:pPr>
      <w:r>
        <w:rPr>
          <w:rFonts w:ascii="Arial" w:cs="Arial" w:eastAsia="Arial" w:hAnsi="Arial"/>
          <w:color w:val="2D2D2D"/>
          <w:sz w:val="22"/>
          <w:szCs w:val="22"/>
        </w:rPr>
        <w:t xml:space="preserve">Guarantees immutability, full traceability, and low-latency transaction finality</w:t>
      </w:r>
    </w:p>
    <w:p>
      <w:pPr>
        <w:spacing w:after="80" w:before="80"/>
      </w:pPr>
    </w:p>
    <w:p>
      <w:pPr>
        <w:pStyle w:val="Heading2"/>
        <w:spacing w:after="120" w:before="240"/>
      </w:pPr>
      <w:r>
        <w:rPr>
          <w:rFonts w:ascii="Arial" w:cs="Arial" w:eastAsia="Arial" w:hAnsi="Arial"/>
          <w:b/>
          <w:bCs/>
          <w:color w:val="2E75B6"/>
          <w:sz w:val="24"/>
          <w:szCs w:val="24"/>
        </w:rPr>
        <w:t xml:space="preserve">3.4 Application Layer</w:t>
      </w:r>
    </w:p>
    <w:p>
      <w:pPr>
        <w:pStyle w:val="ListParagraph"/>
        <w:numPr>
          <w:ilvl w:val="0"/>
          <w:numId w:val="2"/>
        </w:numPr>
        <w:spacing w:after="60" w:before="60"/>
      </w:pPr>
      <w:r>
        <w:rPr>
          <w:rFonts w:ascii="Arial" w:cs="Arial" w:eastAsia="Arial" w:hAnsi="Arial"/>
          <w:color w:val="2D2D2D"/>
          <w:sz w:val="22"/>
          <w:szCs w:val="22"/>
        </w:rPr>
        <w:t xml:space="preserve">Optional monitoring dashboard for the prototype phase</w:t>
      </w:r>
    </w:p>
    <w:p>
      <w:pPr>
        <w:pStyle w:val="ListParagraph"/>
        <w:numPr>
          <w:ilvl w:val="0"/>
          <w:numId w:val="2"/>
        </w:numPr>
        <w:spacing w:after="60" w:before="60"/>
      </w:pPr>
      <w:r>
        <w:rPr>
          <w:rFonts w:ascii="Arial" w:cs="Arial" w:eastAsia="Arial" w:hAnsi="Arial"/>
          <w:color w:val="2D2D2D"/>
          <w:sz w:val="22"/>
          <w:szCs w:val="22"/>
        </w:rPr>
        <w:t xml:space="preserve">Displays real-time energy usage, active fault alerts, and historical event logs</w:t>
      </w:r>
    </w:p>
    <w:p>
      <w:pPr>
        <w:pStyle w:val="ListParagraph"/>
        <w:numPr>
          <w:ilvl w:val="0"/>
          <w:numId w:val="2"/>
        </w:numPr>
        <w:spacing w:after="60" w:before="60"/>
      </w:pPr>
      <w:r>
        <w:rPr>
          <w:rFonts w:ascii="Arial" w:cs="Arial" w:eastAsia="Arial" w:hAnsi="Arial"/>
          <w:color w:val="2D2D2D"/>
          <w:sz w:val="22"/>
          <w:szCs w:val="22"/>
        </w:rPr>
        <w:t xml:space="preserve">Designed for operator use — clean, actionable interface</w:t>
      </w:r>
    </w:p>
    <w:p>
      <w:pPr>
        <w:spacing w:after="80" w:before="80"/>
      </w:pPr>
    </w:p>
    <w:p>
      <w:r>
        <w:br w:type="page"/>
      </w:r>
    </w:p>
    <w:p>
      <w:pPr>
        <w:pStyle w:val="Heading1"/>
        <w:pBdr>
          <w:bottom w:val="single" w:color="2E75B6" w:sz="6" w:space="4"/>
        </w:pBdr>
        <w:spacing w:after="160" w:before="320"/>
      </w:pPr>
      <w:r>
        <w:rPr>
          <w:rFonts w:ascii="Arial" w:cs="Arial" w:eastAsia="Arial" w:hAnsi="Arial"/>
          <w:b/>
          <w:bCs/>
          <w:color w:val="1F4E8C"/>
          <w:sz w:val="30"/>
          <w:szCs w:val="30"/>
        </w:rPr>
        <w:t xml:space="preserve">4. System Architecture</w:t>
      </w:r>
    </w:p>
    <w:p>
      <w:pPr>
        <w:spacing w:after="80" w:before="80"/>
      </w:pPr>
      <w:r>
        <w:rPr>
          <w:rFonts w:ascii="Arial" w:cs="Arial" w:eastAsia="Arial" w:hAnsi="Arial"/>
          <w:color w:val="2D2D2D"/>
          <w:sz w:val="22"/>
          <w:szCs w:val="22"/>
        </w:rPr>
        <w:t xml:space="preserve">A-Grid is composed of five functional layers, each with a clearly scoped responsibility. Together, they form a complete pipeline from raw sensor data to immutable blockchain record.</w:t>
      </w:r>
    </w:p>
    <w:p>
      <w:pPr>
        <w:spacing w:after="80" w:before="80"/>
      </w:pPr>
    </w:p>
    <w:p>
      <w:pPr>
        <w:pStyle w:val="Heading2"/>
        <w:spacing w:after="120" w:before="240"/>
      </w:pPr>
      <w:r>
        <w:rPr>
          <w:rFonts w:ascii="Arial" w:cs="Arial" w:eastAsia="Arial" w:hAnsi="Arial"/>
          <w:b/>
          <w:bCs/>
          <w:color w:val="2E75B6"/>
          <w:sz w:val="24"/>
          <w:szCs w:val="24"/>
        </w:rPr>
        <w:t xml:space="preserve">4.1 IoT / Data Layer</w:t>
      </w:r>
    </w:p>
    <w:p>
      <w:pPr>
        <w:spacing w:after="80" w:before="80"/>
      </w:pPr>
      <w:r>
        <w:rPr>
          <w:rFonts w:ascii="Arial" w:cs="Arial" w:eastAsia="Arial" w:hAnsi="Arial"/>
          <w:color w:val="2D2D2D"/>
          <w:sz w:val="22"/>
          <w:szCs w:val="22"/>
        </w:rPr>
        <w:t xml:space="preserve">The entry point for all data. Physical smart meters (or simulated devices in the prototype) measure energy production, energy consumption, and voltage and current readings. Data is emitted continuously and passed upstream for validation.</w:t>
      </w:r>
    </w:p>
    <w:p>
      <w:pPr>
        <w:spacing w:after="80" w:before="80"/>
      </w:pPr>
    </w:p>
    <w:p>
      <w:pPr>
        <w:pStyle w:val="Heading2"/>
        <w:spacing w:after="120" w:before="240"/>
      </w:pPr>
      <w:r>
        <w:rPr>
          <w:rFonts w:ascii="Arial" w:cs="Arial" w:eastAsia="Arial" w:hAnsi="Arial"/>
          <w:b/>
          <w:bCs/>
          <w:color w:val="2E75B6"/>
          <w:sz w:val="24"/>
          <w:szCs w:val="24"/>
        </w:rPr>
        <w:t xml:space="preserve">4.2 Edge &amp; Middleware Layer</w:t>
      </w:r>
    </w:p>
    <w:p>
      <w:pPr>
        <w:spacing w:after="80" w:before="80"/>
      </w:pPr>
      <w:r>
        <w:rPr>
          <w:rFonts w:ascii="Arial" w:cs="Arial" w:eastAsia="Arial" w:hAnsi="Arial"/>
          <w:color w:val="2D2D2D"/>
          <w:sz w:val="22"/>
          <w:szCs w:val="22"/>
        </w:rPr>
        <w:t xml:space="preserve">The intelligence hub of the system. Built in Node.js and Python, this layer performs real-time data validation, AI-based fault detection, and data filtering. Its co-location with the IoT layer is what enables sub-100ms fault response times.</w:t>
      </w:r>
    </w:p>
    <w:p>
      <w:pPr>
        <w:spacing w:after="80" w:before="80"/>
      </w:pPr>
    </w:p>
    <w:p>
      <w:pPr>
        <w:pStyle w:val="Heading2"/>
        <w:spacing w:after="120" w:before="240"/>
      </w:pPr>
      <w:r>
        <w:rPr>
          <w:rFonts w:ascii="Arial" w:cs="Arial" w:eastAsia="Arial" w:hAnsi="Arial"/>
          <w:b/>
          <w:bCs/>
          <w:color w:val="2E75B6"/>
          <w:sz w:val="24"/>
          <w:szCs w:val="24"/>
        </w:rPr>
        <w:t xml:space="preserve">4.3 Storage Layer</w:t>
      </w:r>
    </w:p>
    <w:p>
      <w:pPr>
        <w:spacing w:after="80" w:before="80"/>
      </w:pPr>
      <w:r>
        <w:rPr>
          <w:rFonts w:ascii="Arial" w:cs="Arial" w:eastAsia="Arial" w:hAnsi="Arial"/>
          <w:color w:val="2D2D2D"/>
          <w:sz w:val="22"/>
          <w:szCs w:val="22"/>
        </w:rPr>
        <w:t xml:space="preserve">A-Grid uses a hybrid storage model to balance performance with cost. Full sensor data is stored off-chain on IPFS, while only data hashes and metadata are written to the blockchain. This reduces on-chain storage requirements by more than 70% while preserving full auditability.</w:t>
      </w:r>
    </w:p>
    <w:p>
      <w:pPr>
        <w:spacing w:after="80" w:before="80"/>
      </w:pPr>
    </w:p>
    <w:p>
      <w:pPr>
        <w:pStyle w:val="Heading2"/>
        <w:spacing w:after="120" w:before="240"/>
      </w:pPr>
      <w:r>
        <w:rPr>
          <w:rFonts w:ascii="Arial" w:cs="Arial" w:eastAsia="Arial" w:hAnsi="Arial"/>
          <w:b/>
          <w:bCs/>
          <w:color w:val="2E75B6"/>
          <w:sz w:val="24"/>
          <w:szCs w:val="24"/>
        </w:rPr>
        <w:t xml:space="preserve">4.4 Blockchain Layer</w:t>
      </w:r>
    </w:p>
    <w:p>
      <w:pPr>
        <w:spacing w:after="80" w:before="80"/>
      </w:pPr>
      <w:r>
        <w:rPr>
          <w:rFonts w:ascii="Arial" w:cs="Arial" w:eastAsia="Arial" w:hAnsi="Arial"/>
          <w:color w:val="2D2D2D"/>
          <w:sz w:val="22"/>
          <w:szCs w:val="22"/>
        </w:rPr>
        <w:t xml:space="preserve">Purechain's PoA² network handles transaction validation, consensus, and immutable recording. The PoA² model is selected for its low latency, high throughput (500–2,000 TPS), and energy efficiency relative to proof-of-work alternatives — properties that align well with real-time grid monitoring requirements.</w:t>
      </w:r>
    </w:p>
    <w:p>
      <w:pPr>
        <w:spacing w:after="80" w:before="80"/>
      </w:pPr>
    </w:p>
    <w:p>
      <w:pPr>
        <w:pStyle w:val="Heading2"/>
        <w:spacing w:after="120" w:before="240"/>
      </w:pPr>
      <w:r>
        <w:rPr>
          <w:rFonts w:ascii="Arial" w:cs="Arial" w:eastAsia="Arial" w:hAnsi="Arial"/>
          <w:b/>
          <w:bCs/>
          <w:color w:val="2E75B6"/>
          <w:sz w:val="24"/>
          <w:szCs w:val="24"/>
        </w:rPr>
        <w:t xml:space="preserve">4.5 Application Layer</w:t>
      </w:r>
    </w:p>
    <w:p>
      <w:pPr>
        <w:spacing w:after="80" w:before="80"/>
      </w:pPr>
      <w:r>
        <w:rPr>
          <w:rFonts w:ascii="Arial" w:cs="Arial" w:eastAsia="Arial" w:hAnsi="Arial"/>
          <w:color w:val="2D2D2D"/>
          <w:sz w:val="22"/>
          <w:szCs w:val="22"/>
        </w:rPr>
        <w:t xml:space="preserve">The user-facing interface. For the prototype, this is an optional dashboard displaying live energy usage, fault alerts, and historical data. In a production environment, this layer would be extended to support operator workflows, regulatory reporting, and API integrations with utility systems.</w:t>
      </w:r>
    </w:p>
    <w:p>
      <w:pPr>
        <w:spacing w:after="80" w:before="80"/>
      </w:pPr>
    </w:p>
    <w:p>
      <w:pPr>
        <w:pStyle w:val="Heading1"/>
        <w:pBdr>
          <w:bottom w:val="single" w:color="2E75B6" w:sz="6" w:space="4"/>
        </w:pBdr>
        <w:spacing w:after="160" w:before="320"/>
      </w:pPr>
      <w:r>
        <w:rPr>
          <w:rFonts w:ascii="Arial" w:cs="Arial" w:eastAsia="Arial" w:hAnsi="Arial"/>
          <w:b/>
          <w:bCs/>
          <w:color w:val="1F4E8C"/>
          <w:sz w:val="30"/>
          <w:szCs w:val="30"/>
        </w:rPr>
        <w:t xml:space="preserve">5. Technical Metrics &amp; Performance Targets</w:t>
      </w:r>
    </w:p>
    <w:p>
      <w:pPr>
        <w:spacing w:after="80" w:before="80"/>
      </w:pPr>
      <w:r>
        <w:rPr>
          <w:rFonts w:ascii="Arial" w:cs="Arial" w:eastAsia="Arial" w:hAnsi="Arial"/>
          <w:color w:val="2D2D2D"/>
          <w:sz w:val="22"/>
          <w:szCs w:val="22"/>
        </w:rPr>
        <w:t xml:space="preserve">The following table summarizes the key performance targets for the A-Grid system across both prototype and production phases: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Target / Result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Fault Detection Latency</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&lt; 100 ms (Edge AI)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Blockchain Finality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&lt; 2–3 seconds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Throughput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500–2,000 TPS (PoA²)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Storage Reduction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&gt; 70% (IPFS hybrid approach)</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NTL Reduction (12 months)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15–20% projected</w:t>
            </w:r>
          </w:p>
        </w:tc>
      </w:tr>
    </w:tbl>
    <w:p>
      <w:pPr>
        <w:spacing w:after="80" w:before="80"/>
      </w:pPr>
    </w:p>
    <w:p>
      <w:pPr>
        <w:spacing w:after="80" w:before="80"/>
      </w:pPr>
      <w:r>
        <w:rPr>
          <w:rFonts w:ascii="Arial" w:cs="Arial" w:eastAsia="Arial" w:hAnsi="Arial"/>
          <w:color w:val="2D2D2D"/>
          <w:sz w:val="22"/>
          <w:szCs w:val="22"/>
        </w:rPr>
        <w:t xml:space="preserve">These targets are grounded in the capabilities of the selected technology stack — Isolation Forest for low-latency edge inference, IPFS for off-chain storage, and PoA² for high-throughput consensus — and will be validated during Phase 3 testing.</w:t>
      </w:r>
    </w:p>
    <w:p>
      <w:pPr>
        <w:spacing w:after="80" w:before="80"/>
      </w:pPr>
    </w:p>
    <w:p>
      <w:r>
        <w:br w:type="page"/>
      </w:r>
    </w:p>
    <w:p>
      <w:pPr>
        <w:pStyle w:val="Heading1"/>
        <w:pBdr>
          <w:bottom w:val="single" w:color="2E75B6" w:sz="6" w:space="4"/>
        </w:pBdr>
        <w:spacing w:after="160" w:before="320"/>
      </w:pPr>
      <w:r>
        <w:rPr>
          <w:rFonts w:ascii="Arial" w:cs="Arial" w:eastAsia="Arial" w:hAnsi="Arial"/>
          <w:b/>
          <w:bCs/>
          <w:color w:val="1F4E8C"/>
          <w:sz w:val="30"/>
          <w:szCs w:val="30"/>
        </w:rPr>
        <w:t xml:space="preserve">6. AI-Based Fault Detection</w:t>
      </w:r>
    </w:p>
    <w:p>
      <w:pPr>
        <w:spacing w:after="80" w:before="80"/>
      </w:pPr>
      <w:r>
        <w:rPr>
          <w:rFonts w:ascii="Arial" w:cs="Arial" w:eastAsia="Arial" w:hAnsi="Arial"/>
          <w:color w:val="2D2D2D"/>
          <w:sz w:val="22"/>
          <w:szCs w:val="22"/>
        </w:rPr>
        <w:t xml:space="preserve">Fault detection is the core value driver of A-Grid. The system is designed around a two-phase AI strategy that balances prototype speed with long-term research depth.</w:t>
      </w:r>
    </w:p>
    <w:p>
      <w:pPr>
        <w:spacing w:after="80" w:before="80"/>
      </w:pPr>
    </w:p>
    <w:p>
      <w:pPr>
        <w:pStyle w:val="Heading2"/>
        <w:spacing w:after="120" w:before="240"/>
      </w:pPr>
      <w:r>
        <w:rPr>
          <w:rFonts w:ascii="Arial" w:cs="Arial" w:eastAsia="Arial" w:hAnsi="Arial"/>
          <w:b/>
          <w:bCs/>
          <w:color w:val="2E75B6"/>
          <w:sz w:val="24"/>
          <w:szCs w:val="24"/>
        </w:rPr>
        <w:t xml:space="preserve">Phase 1 — Isolation Forest (Prototype)</w:t>
      </w:r>
    </w:p>
    <w:p>
      <w:pPr>
        <w:spacing w:after="80" w:before="80"/>
      </w:pPr>
      <w:r>
        <w:rPr>
          <w:rFonts w:ascii="Arial" w:cs="Arial" w:eastAsia="Arial" w:hAnsi="Arial"/>
          <w:color w:val="2D2D2D"/>
          <w:sz w:val="22"/>
          <w:szCs w:val="22"/>
        </w:rPr>
        <w:t xml:space="preserve">Isolation Forest is a lightweight, unsupervised anomaly detection algorithm well-suited to edge deployment. It requires minimal training data, produces low-latency results, and is interpretable enough for debugging in a prototype context. It will serve as the primary detection engine for Phase 1 and Phase 3 testing.</w:t>
      </w:r>
    </w:p>
    <w:p>
      <w:pPr>
        <w:spacing w:after="80" w:before="80"/>
      </w:pPr>
    </w:p>
    <w:p>
      <w:pPr>
        <w:pStyle w:val="Heading2"/>
        <w:spacing w:after="120" w:before="240"/>
      </w:pPr>
      <w:r>
        <w:rPr>
          <w:rFonts w:ascii="Arial" w:cs="Arial" w:eastAsia="Arial" w:hAnsi="Arial"/>
          <w:b/>
          <w:bCs/>
          <w:color w:val="2E75B6"/>
          <w:sz w:val="24"/>
          <w:szCs w:val="24"/>
        </w:rPr>
        <w:t xml:space="preserve">Phase 2 — LSTM Neural Networks (Research Extension)</w:t>
      </w:r>
    </w:p>
    <w:p>
      <w:pPr>
        <w:spacing w:after="80" w:before="80"/>
      </w:pPr>
      <w:r>
        <w:rPr>
          <w:rFonts w:ascii="Arial" w:cs="Arial" w:eastAsia="Arial" w:hAnsi="Arial"/>
          <w:color w:val="2D2D2D"/>
          <w:sz w:val="22"/>
          <w:szCs w:val="22"/>
        </w:rPr>
        <w:t xml:space="preserve">Long Short-Term Memory (LSTM) networks are purpose-built for time-series prediction. In Phase 2, LSTM models will be trained on historical grid data to identify temporal fault patterns — enabling predictive detection rather than purely reactive anomaly flagging. This represents the primary research contribution of A-Grid beyond the prototype.</w:t>
      </w:r>
    </w:p>
    <w:p>
      <w:pPr>
        <w:spacing w:after="80" w:before="80"/>
      </w:pPr>
    </w:p>
    <w:p>
      <w:pPr>
        <w:pStyle w:val="Heading2"/>
        <w:spacing w:after="120" w:before="240"/>
      </w:pPr>
      <w:r>
        <w:rPr>
          <w:rFonts w:ascii="Arial" w:cs="Arial" w:eastAsia="Arial" w:hAnsi="Arial"/>
          <w:b/>
          <w:bCs/>
          <w:color w:val="2E75B6"/>
          <w:sz w:val="24"/>
          <w:szCs w:val="24"/>
        </w:rPr>
        <w:t xml:space="preserve">Core Capabilities</w:t>
      </w:r>
    </w:p>
    <w:p>
      <w:pPr>
        <w:pStyle w:val="ListParagraph"/>
        <w:numPr>
          <w:ilvl w:val="0"/>
          <w:numId w:val="2"/>
        </w:numPr>
        <w:spacing w:after="60" w:before="60"/>
      </w:pPr>
      <w:r>
        <w:rPr>
          <w:rFonts w:ascii="Arial" w:cs="Arial" w:eastAsia="Arial" w:hAnsi="Arial"/>
          <w:color w:val="2D2D2D"/>
          <w:sz w:val="22"/>
          <w:szCs w:val="22"/>
        </w:rPr>
        <w:t xml:space="preserve">Real-time anomaly detection at the edge with sub-100ms latency</w:t>
      </w:r>
    </w:p>
    <w:p>
      <w:pPr>
        <w:pStyle w:val="ListParagraph"/>
        <w:numPr>
          <w:ilvl w:val="0"/>
          <w:numId w:val="2"/>
        </w:numPr>
        <w:spacing w:after="60" w:before="60"/>
      </w:pPr>
      <w:r>
        <w:rPr>
          <w:rFonts w:ascii="Arial" w:cs="Arial" w:eastAsia="Arial" w:hAnsi="Arial"/>
          <w:color w:val="2D2D2D"/>
          <w:sz w:val="22"/>
          <w:szCs w:val="22"/>
        </w:rPr>
        <w:t xml:space="preserve">Identification of abnormal consumption patterns indicative of energy theft</w:t>
      </w:r>
    </w:p>
    <w:p>
      <w:pPr>
        <w:pStyle w:val="ListParagraph"/>
        <w:numPr>
          <w:ilvl w:val="0"/>
          <w:numId w:val="2"/>
        </w:numPr>
        <w:spacing w:after="60" w:before="60"/>
      </w:pPr>
      <w:r>
        <w:rPr>
          <w:rFonts w:ascii="Arial" w:cs="Arial" w:eastAsia="Arial" w:hAnsi="Arial"/>
          <w:color w:val="2D2D2D"/>
          <w:sz w:val="22"/>
          <w:szCs w:val="22"/>
        </w:rPr>
        <w:t xml:space="preserve">Progressive accuracy improvement as the model is exposed to more grid data</w:t>
      </w:r>
    </w:p>
    <w:p>
      <w:pPr>
        <w:pStyle w:val="ListParagraph"/>
        <w:numPr>
          <w:ilvl w:val="0"/>
          <w:numId w:val="2"/>
        </w:numPr>
        <w:spacing w:after="60" w:before="60"/>
      </w:pPr>
      <w:r>
        <w:rPr>
          <w:rFonts w:ascii="Arial" w:cs="Arial" w:eastAsia="Arial" w:hAnsi="Arial"/>
          <w:color w:val="2D2D2D"/>
          <w:sz w:val="22"/>
          <w:szCs w:val="22"/>
        </w:rPr>
        <w:t xml:space="preserve">Modular design — Isolation Forest and LSTM can run in parallel for comparison</w:t>
      </w:r>
    </w:p>
    <w:p>
      <w:pPr>
        <w:spacing w:after="80" w:before="80"/>
      </w:pPr>
    </w:p>
    <w:p>
      <w:pPr>
        <w:pStyle w:val="Heading1"/>
        <w:pBdr>
          <w:bottom w:val="single" w:color="2E75B6" w:sz="6" w:space="4"/>
        </w:pBdr>
        <w:spacing w:after="160" w:before="320"/>
      </w:pPr>
      <w:r>
        <w:rPr>
          <w:rFonts w:ascii="Arial" w:cs="Arial" w:eastAsia="Arial" w:hAnsi="Arial"/>
          <w:b/>
          <w:bCs/>
          <w:color w:val="1F4E8C"/>
          <w:sz w:val="30"/>
          <w:szCs w:val="30"/>
        </w:rPr>
        <w:t xml:space="preserve">7. Implementation Roadmap</w:t>
      </w:r>
    </w:p>
    <w:p>
      <w:pPr>
        <w:spacing w:after="80" w:before="80"/>
      </w:pPr>
      <w:r>
        <w:rPr>
          <w:rFonts w:ascii="Arial" w:cs="Arial" w:eastAsia="Arial" w:hAnsi="Arial"/>
          <w:color w:val="2D2D2D"/>
          <w:sz w:val="22"/>
          <w:szCs w:val="22"/>
        </w:rPr>
        <w:t xml:space="preserve">The project is structured across four phases, each with clear deliverables and success criteria: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2340"/>
            <w:tcBorders>
              <w:top w:val="single" w:color="CCCCCC" w:sz="1"/>
              <w:left w:val="single" w:color="CCCCCC" w:sz="1"/>
              <w:bottom w:val="single" w:color="CCCCCC" w:sz="1"/>
              <w:right w:val="single" w:color="CCCCCC" w:sz="1"/>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Title</w:t>
            </w:r>
          </w:p>
        </w:tc>
        <w:tc>
          <w:tcPr>
            <w:tcW w:type="dxa" w:w="5460"/>
            <w:tcBorders>
              <w:top w:val="single" w:color="CCCCCC" w:sz="1"/>
              <w:left w:val="single" w:color="CCCCCC" w:sz="1"/>
              <w:bottom w:val="single" w:color="CCCCCC" w:sz="1"/>
              <w:right w:val="single" w:color="CCCCCC" w:sz="1"/>
            </w:tcBorders>
            <w:shd w:fill="1F4E8C" w:val="clear"/>
            <w:tcMar>
              <w:top w:type="dxa" w:w="100"/>
              <w:left w:type="dxa" w:w="140"/>
              <w:bottom w:type="dxa" w:w="100"/>
              <w:right w:type="dxa" w:w="140"/>
            </w:tcMar>
          </w:tcPr>
          <w:p>
            <w:r>
              <w:rPr>
                <w:rFonts w:ascii="Arial" w:cs="Arial" w:eastAsia="Arial" w:hAnsi="Arial"/>
                <w:b/>
                <w:bCs/>
                <w:color w:val="FFFFFF"/>
                <w:sz w:val="22"/>
                <w:szCs w:val="22"/>
              </w:rPr>
              <w:t xml:space="preserve">Key Deliverables</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Phase 1</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Prototype Development</w:t>
            </w:r>
          </w:p>
        </w:tc>
        <w:tc>
          <w:tcPr>
            <w:tcW w:type="dxa" w:w="54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Set up backend (Node.js + Python AI), integrate PoA² API, simulate smart meter data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System Integration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Connect AI + backend + blockchain, integrate IPFS storage, implement validation layer</w:t>
            </w:r>
          </w:p>
        </w:tc>
      </w:tr>
      <w:tr>
        <w:tc>
          <w:tcPr>
            <w:tcW w:type="dxa" w:w="1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Phase 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Testing &amp; Evaluation</w:t>
            </w:r>
          </w:p>
        </w:tc>
        <w:tc>
          <w:tcPr>
            <w:tcW w:type="dxa" w:w="54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2D2D2D"/>
                <w:sz w:val="22"/>
                <w:szCs w:val="22"/>
              </w:rPr>
              <w:t xml:space="preserve">Measure latency, TPS, and detection accuracy across all components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Optimization &amp; Demo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22"/>
                <w:szCs w:val="22"/>
              </w:rPr>
              <w:t xml:space="preserve">Improve performance, add monitoring dashboard, prepare live demonstration</w:t>
            </w:r>
          </w:p>
        </w:tc>
      </w:tr>
    </w:tbl>
    <w:p>
      <w:pPr>
        <w:spacing w:after="80" w:before="80"/>
      </w:pPr>
    </w:p>
    <w:p>
      <w:pPr>
        <w:pStyle w:val="Heading1"/>
        <w:pBdr>
          <w:bottom w:val="single" w:color="2E75B6" w:sz="6" w:space="4"/>
        </w:pBdr>
        <w:spacing w:after="160" w:before="320"/>
      </w:pPr>
      <w:r>
        <w:rPr>
          <w:rFonts w:ascii="Arial" w:cs="Arial" w:eastAsia="Arial" w:hAnsi="Arial"/>
          <w:b/>
          <w:bCs/>
          <w:color w:val="1F4E8C"/>
          <w:sz w:val="30"/>
          <w:szCs w:val="30"/>
        </w:rPr>
        <w:t xml:space="preserve">8. Innovation &amp; Technical Contribution</w:t>
      </w:r>
    </w:p>
    <w:p>
      <w:pPr>
        <w:spacing w:after="80" w:before="80"/>
      </w:pPr>
      <w:r>
        <w:rPr>
          <w:rFonts w:ascii="Arial" w:cs="Arial" w:eastAsia="Arial" w:hAnsi="Arial"/>
          <w:color w:val="2D2D2D"/>
          <w:sz w:val="22"/>
          <w:szCs w:val="22"/>
        </w:rPr>
        <w:t xml:space="preserve">A-Grid's novelty lies not in any single component, but in how they are combined. The framework makes the following distinct contributions:</w:t>
      </w:r>
    </w:p>
    <w:p>
      <w:pPr>
        <w:spacing w:after="80" w:before="80"/>
      </w:pPr>
    </w:p>
    <w:p>
      <w:pPr>
        <w:pStyle w:val="ListParagraph"/>
        <w:numPr>
          <w:ilvl w:val="0"/>
          <w:numId w:val="2"/>
        </w:numPr>
        <w:spacing w:after="60" w:before="60"/>
      </w:pPr>
      <w:r>
        <w:rPr>
          <w:rFonts w:ascii="Arial" w:cs="Arial" w:eastAsia="Arial" w:hAnsi="Arial"/>
          <w:color w:val="2D2D2D"/>
          <w:sz w:val="22"/>
          <w:szCs w:val="22"/>
        </w:rPr>
        <w:t xml:space="preserve">Multi-layer validation pipeline — data integrity is enforced before it reaches the blockchain, addressing the oracle problem directly</w:t>
      </w:r>
    </w:p>
    <w:p>
      <w:pPr>
        <w:pStyle w:val="ListParagraph"/>
        <w:numPr>
          <w:ilvl w:val="0"/>
          <w:numId w:val="2"/>
        </w:numPr>
        <w:spacing w:after="60" w:before="60"/>
      </w:pPr>
      <w:r>
        <w:rPr>
          <w:rFonts w:ascii="Arial" w:cs="Arial" w:eastAsia="Arial" w:hAnsi="Arial"/>
          <w:color w:val="2D2D2D"/>
          <w:sz w:val="22"/>
          <w:szCs w:val="22"/>
        </w:rPr>
        <w:t xml:space="preserve">Edge-first fault detection — moving AI inference to the data source reduces latency by orders of magnitude compared to centralized architectures</w:t>
      </w:r>
    </w:p>
    <w:p>
      <w:pPr>
        <w:pStyle w:val="ListParagraph"/>
        <w:numPr>
          <w:ilvl w:val="0"/>
          <w:numId w:val="2"/>
        </w:numPr>
        <w:spacing w:after="60" w:before="60"/>
      </w:pPr>
      <w:r>
        <w:rPr>
          <w:rFonts w:ascii="Arial" w:cs="Arial" w:eastAsia="Arial" w:hAnsi="Arial"/>
          <w:color w:val="2D2D2D"/>
          <w:sz w:val="22"/>
          <w:szCs w:val="22"/>
        </w:rPr>
        <w:t xml:space="preserve">Hybrid storage model — combining IPFS off-chain storage with on-chain hashing achieves full auditability without prohibitive storage costs</w:t>
      </w:r>
    </w:p>
    <w:p>
      <w:pPr>
        <w:pStyle w:val="ListParagraph"/>
        <w:numPr>
          <w:ilvl w:val="0"/>
          <w:numId w:val="2"/>
        </w:numPr>
        <w:spacing w:after="60" w:before="60"/>
      </w:pPr>
      <w:r>
        <w:rPr>
          <w:rFonts w:ascii="Arial" w:cs="Arial" w:eastAsia="Arial" w:hAnsi="Arial"/>
          <w:color w:val="2D2D2D"/>
          <w:sz w:val="22"/>
          <w:szCs w:val="22"/>
        </w:rPr>
        <w:t xml:space="preserve">PoA² consensus integration — demonstrating practical blockchain use in a cyber-physical system with strict latency requirements</w:t>
      </w:r>
    </w:p>
    <w:p>
      <w:pPr>
        <w:pStyle w:val="ListParagraph"/>
        <w:numPr>
          <w:ilvl w:val="0"/>
          <w:numId w:val="2"/>
        </w:numPr>
        <w:spacing w:after="60" w:before="60"/>
      </w:pPr>
      <w:r>
        <w:rPr>
          <w:rFonts w:ascii="Arial" w:cs="Arial" w:eastAsia="Arial" w:hAnsi="Arial"/>
          <w:color w:val="2D2D2D"/>
          <w:sz w:val="22"/>
          <w:szCs w:val="22"/>
        </w:rPr>
        <w:t xml:space="preserve">Modular AI strategy — the Isolation Forest / LSTM dual-phase approach allows both rapid prototyping and publishable research depth</w:t>
      </w:r>
    </w:p>
    <w:p>
      <w:pPr>
        <w:spacing w:after="80" w:before="80"/>
      </w:pPr>
    </w:p>
    <w:p>
      <w:pPr>
        <w:pStyle w:val="Heading1"/>
        <w:pBdr>
          <w:bottom w:val="single" w:color="2E75B6" w:sz="6" w:space="4"/>
        </w:pBdr>
        <w:spacing w:after="160" w:before="320"/>
      </w:pPr>
      <w:r>
        <w:rPr>
          <w:rFonts w:ascii="Arial" w:cs="Arial" w:eastAsia="Arial" w:hAnsi="Arial"/>
          <w:b/>
          <w:bCs/>
          <w:color w:val="1F4E8C"/>
          <w:sz w:val="30"/>
          <w:szCs w:val="30"/>
        </w:rPr>
        <w:t xml:space="preserve">9. Commercial Viability &amp; Impact</w:t>
      </w:r>
    </w:p>
    <w:p>
      <w:pPr>
        <w:spacing w:after="80" w:before="80"/>
      </w:pPr>
      <w:r>
        <w:rPr>
          <w:rFonts w:ascii="Arial" w:cs="Arial" w:eastAsia="Arial" w:hAnsi="Arial"/>
          <w:color w:val="2D2D2D"/>
          <w:sz w:val="22"/>
          <w:szCs w:val="22"/>
        </w:rPr>
        <w:t xml:space="preserve">A-Grid's technical capabilities map directly to a set of commercially viable product and service models:</w:t>
      </w:r>
    </w:p>
    <w:p>
      <w:pPr>
        <w:spacing w:after="80" w:before="80"/>
      </w:pPr>
    </w:p>
    <w:p>
      <w:pPr>
        <w:pStyle w:val="Heading2"/>
        <w:spacing w:after="120" w:before="240"/>
      </w:pPr>
      <w:r>
        <w:rPr>
          <w:rFonts w:ascii="Arial" w:cs="Arial" w:eastAsia="Arial" w:hAnsi="Arial"/>
          <w:b/>
          <w:bCs/>
          <w:color w:val="2E75B6"/>
          <w:sz w:val="24"/>
          <w:szCs w:val="24"/>
        </w:rPr>
        <w:t xml:space="preserve">Utility Loss Reduction</w:t>
      </w:r>
    </w:p>
    <w:p>
      <w:pPr>
        <w:spacing w:after="80" w:before="80"/>
      </w:pPr>
      <w:r>
        <w:rPr>
          <w:rFonts w:ascii="Arial" w:cs="Arial" w:eastAsia="Arial" w:hAnsi="Arial"/>
          <w:color w:val="2D2D2D"/>
          <w:sz w:val="22"/>
          <w:szCs w:val="22"/>
        </w:rPr>
        <w:t xml:space="preserve">Utilities deploying A-Grid can expect a projected 15–20% reduction in Non-Technical Loss within the first 12 months of operation. At scale, even marginal improvements in NTL translate to tens of millions in recovered revenue.</w:t>
      </w:r>
    </w:p>
    <w:p>
      <w:pPr>
        <w:spacing w:after="80" w:before="80"/>
      </w:pPr>
    </w:p>
    <w:p>
      <w:pPr>
        <w:pStyle w:val="Heading2"/>
        <w:spacing w:after="120" w:before="240"/>
      </w:pPr>
      <w:r>
        <w:rPr>
          <w:rFonts w:ascii="Arial" w:cs="Arial" w:eastAsia="Arial" w:hAnsi="Arial"/>
          <w:b/>
          <w:bCs/>
          <w:color w:val="2E75B6"/>
          <w:sz w:val="24"/>
          <w:szCs w:val="24"/>
        </w:rPr>
        <w:t xml:space="preserve">Forensic-as-a-Service</w:t>
      </w:r>
    </w:p>
    <w:p>
      <w:pPr>
        <w:spacing w:after="80" w:before="80"/>
      </w:pPr>
      <w:r>
        <w:rPr>
          <w:rFonts w:ascii="Arial" w:cs="Arial" w:eastAsia="Arial" w:hAnsi="Arial"/>
          <w:color w:val="2D2D2D"/>
          <w:sz w:val="22"/>
          <w:szCs w:val="22"/>
        </w:rPr>
        <w:t xml:space="preserve">The immutable fault ledger created by A-Grid's blockchain layer has direct commercial value for the insurance sector. Insurers can subscribe to verified fault records for faster, evidence-based claims processing — eliminating fraud and reducing adjudication costs.</w:t>
      </w:r>
    </w:p>
    <w:p>
      <w:pPr>
        <w:spacing w:after="80" w:before="80"/>
      </w:pPr>
    </w:p>
    <w:p>
      <w:pPr>
        <w:pStyle w:val="Heading2"/>
        <w:spacing w:after="120" w:before="240"/>
      </w:pPr>
      <w:r>
        <w:rPr>
          <w:rFonts w:ascii="Arial" w:cs="Arial" w:eastAsia="Arial" w:hAnsi="Arial"/>
          <w:b/>
          <w:bCs/>
          <w:color w:val="2E75B6"/>
          <w:sz w:val="24"/>
          <w:szCs w:val="24"/>
        </w:rPr>
        <w:t xml:space="preserve">Energy Trust Score</w:t>
      </w:r>
    </w:p>
    <w:p>
      <w:pPr>
        <w:spacing w:after="80" w:before="80"/>
      </w:pPr>
      <w:r>
        <w:rPr>
          <w:rFonts w:ascii="Arial" w:cs="Arial" w:eastAsia="Arial" w:hAnsi="Arial"/>
          <w:color w:val="2D2D2D"/>
          <w:sz w:val="22"/>
          <w:szCs w:val="22"/>
        </w:rPr>
        <w:t xml:space="preserve">A peer-to-peer incentive model built on top of A-Grid's data layer. Prosumers who consistently produce verified, high-quality green energy receive a higher Trust Score — unlocking lower transaction fees on the network and creating a reputation-based market for clean energy.</w:t>
      </w:r>
    </w:p>
    <w:p>
      <w:pPr>
        <w:spacing w:after="80" w:before="80"/>
      </w:pPr>
    </w:p>
    <w:p>
      <w:pPr>
        <w:pStyle w:val="Heading2"/>
        <w:spacing w:after="120" w:before="240"/>
      </w:pPr>
      <w:r>
        <w:rPr>
          <w:rFonts w:ascii="Arial" w:cs="Arial" w:eastAsia="Arial" w:hAnsi="Arial"/>
          <w:b/>
          <w:bCs/>
          <w:color w:val="2E75B6"/>
          <w:sz w:val="24"/>
          <w:szCs w:val="24"/>
        </w:rPr>
        <w:t xml:space="preserve">Infrastructure Readiness</w:t>
      </w:r>
    </w:p>
    <w:p>
      <w:pPr>
        <w:spacing w:after="80" w:before="80"/>
      </w:pPr>
      <w:r>
        <w:rPr>
          <w:rFonts w:ascii="Arial" w:cs="Arial" w:eastAsia="Arial" w:hAnsi="Arial"/>
          <w:color w:val="2D2D2D"/>
          <w:sz w:val="22"/>
          <w:szCs w:val="22"/>
        </w:rPr>
        <w:t xml:space="preserve">A-Grid is designed to serve as foundational infrastructure for next-generation smart grid deployments, supporting regulatory compliance, operator tooling, and future integration with energy trading platforms.</w:t>
      </w:r>
    </w:p>
    <w:p>
      <w:pPr>
        <w:spacing w:after="80" w:before="80"/>
      </w:pPr>
    </w:p>
    <w:p>
      <w:pPr>
        <w:pStyle w:val="Heading1"/>
        <w:pBdr>
          <w:bottom w:val="single" w:color="2E75B6" w:sz="6" w:space="4"/>
        </w:pBdr>
        <w:spacing w:after="160" w:before="320"/>
      </w:pPr>
      <w:r>
        <w:rPr>
          <w:rFonts w:ascii="Arial" w:cs="Arial" w:eastAsia="Arial" w:hAnsi="Arial"/>
          <w:b/>
          <w:bCs/>
          <w:color w:val="1F4E8C"/>
          <w:sz w:val="30"/>
          <w:szCs w:val="30"/>
        </w:rPr>
        <w:t xml:space="preserve">10. Standards &amp; References</w:t>
      </w:r>
    </w:p>
    <w:p>
      <w:pPr>
        <w:spacing w:after="80" w:before="80"/>
      </w:pPr>
      <w:r>
        <w:rPr>
          <w:rFonts w:ascii="Arial" w:cs="Arial" w:eastAsia="Arial" w:hAnsi="Arial"/>
          <w:color w:val="2D2D2D"/>
          <w:sz w:val="22"/>
          <w:szCs w:val="22"/>
        </w:rPr>
        <w:t xml:space="preserve">The following international standards inform the design, security model, and communication protocols of A-Grid:</w:t>
      </w:r>
    </w:p>
    <w:p>
      <w:pPr>
        <w:spacing w:after="80" w:before="80"/>
      </w:pPr>
    </w:p>
    <w:p>
      <w:pPr>
        <w:pStyle w:val="ListParagraph"/>
        <w:numPr>
          <w:ilvl w:val="0"/>
          <w:numId w:val="2"/>
        </w:numPr>
        <w:spacing w:after="60" w:before="60"/>
      </w:pPr>
      <w:r>
        <w:rPr>
          <w:rFonts w:ascii="Arial" w:cs="Arial" w:eastAsia="Arial" w:hAnsi="Arial"/>
          <w:color w:val="2D2D2D"/>
          <w:sz w:val="22"/>
          <w:szCs w:val="22"/>
        </w:rPr>
        <w:t xml:space="preserve">IEEE 2030.5 — Smart Energy Profile (SEP) communications standard for smart grid interoperability</w:t>
      </w:r>
    </w:p>
    <w:p>
      <w:pPr>
        <w:pStyle w:val="ListParagraph"/>
        <w:numPr>
          <w:ilvl w:val="0"/>
          <w:numId w:val="2"/>
        </w:numPr>
        <w:spacing w:after="60" w:before="60"/>
      </w:pPr>
      <w:r>
        <w:rPr>
          <w:rFonts w:ascii="Arial" w:cs="Arial" w:eastAsia="Arial" w:hAnsi="Arial"/>
          <w:color w:val="2D2D2D"/>
          <w:sz w:val="22"/>
          <w:szCs w:val="22"/>
        </w:rPr>
        <w:t xml:space="preserve">NIST IR 7628 — Guidelines for Smart Grid Cybersecurity, informing the multi-layer validation design</w:t>
      </w:r>
    </w:p>
    <w:p>
      <w:pPr>
        <w:pStyle w:val="ListParagraph"/>
        <w:numPr>
          <w:ilvl w:val="0"/>
          <w:numId w:val="2"/>
        </w:numPr>
        <w:spacing w:after="60" w:before="60"/>
      </w:pPr>
      <w:r>
        <w:rPr>
          <w:rFonts w:ascii="Arial" w:cs="Arial" w:eastAsia="Arial" w:hAnsi="Arial"/>
          <w:color w:val="2D2D2D"/>
          <w:sz w:val="22"/>
          <w:szCs w:val="22"/>
        </w:rPr>
        <w:t xml:space="preserve">IEC 61850 — International standard for communication protocols in electrical substations</w:t>
      </w:r>
    </w:p>
    <w:p>
      <w:pPr>
        <w:pStyle w:val="ListParagraph"/>
        <w:numPr>
          <w:ilvl w:val="0"/>
          <w:numId w:val="2"/>
        </w:numPr>
        <w:spacing w:after="60" w:before="60"/>
      </w:pPr>
      <w:r>
        <w:rPr>
          <w:rFonts w:ascii="Arial" w:cs="Arial" w:eastAsia="Arial" w:hAnsi="Arial"/>
          <w:color w:val="2D2D2D"/>
          <w:sz w:val="22"/>
          <w:szCs w:val="22"/>
        </w:rPr>
        <w:t xml:space="preserve">ISO/IEC 27001 — Information security management framework applied to blockchain node operations</w:t>
      </w:r>
    </w:p>
    <w:p>
      <w:pPr>
        <w:spacing w:after="80" w:before="80"/>
      </w:pPr>
    </w:p>
    <w:p>
      <w:pPr>
        <w:spacing w:after="80" w:before="80"/>
      </w:pPr>
      <w:r>
        <w:rPr>
          <w:rFonts w:ascii="Arial" w:cs="Arial" w:eastAsia="Arial" w:hAnsi="Arial"/>
          <w:i/>
          <w:iCs/>
          <w:color w:val="888888"/>
          <w:sz w:val="22"/>
          <w:szCs w:val="22"/>
        </w:rPr>
        <w:t xml:space="preserve">For further information, technical specifications, or prototype access, please contact the A-Grid development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00"/>
    </w:pPr>
    <w:r>
      <w:rPr>
        <w:rFonts w:ascii="Arial" w:cs="Arial" w:eastAsia="Arial" w:hAnsi="Arial"/>
        <w:color w:val="888888"/>
        <w:sz w:val="18"/>
        <w:szCs w:val="18"/>
      </w:rPr>
      <w:t xml:space="preserve">Confidential — Internal Team Use Only</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60"/>
    </w:pPr>
    <w:r>
      <w:rPr>
        <w:rFonts w:ascii="Arial" w:cs="Arial" w:eastAsia="Arial" w:hAnsi="Arial"/>
        <w:b/>
        <w:bCs/>
        <w:color w:val="1F4E8C"/>
        <w:sz w:val="20"/>
        <w:szCs w:val="20"/>
      </w:rPr>
      <w:t xml:space="preserve">A-Grid: SmartGrid Monitoring &amp; Fault Detection System</w:t>
    </w:r>
    <w:r>
      <w:rPr>
        <w:sz w:val="20"/>
        <w:szCs w:val="20"/>
      </w:rPr>
      <w:t xml:space="preserve">	</w:t>
    </w:r>
    <w:r>
      <w:rPr>
        <w:rFonts w:ascii="Arial" w:cs="Arial" w:eastAsia="Arial" w:hAnsi="Arial"/>
        <w:color w:val="888888"/>
        <w:sz w:val="18"/>
        <w:szCs w:val="18"/>
      </w:rPr>
      <w:t xml:space="preserve">Hackathon Proposal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8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2026-05-07T18:33:17.501Z</dcterms:created>
  <dcterms:modified xsi:type="dcterms:W3CDTF">2026-05-07T18:33:17.501Z</dcterms:modified>
</cp:coreProperties>
</file>

<file path=docProps/custom.xml><?xml version="1.0" encoding="utf-8"?>
<Properties xmlns="http://schemas.openxmlformats.org/officeDocument/2006/custom-properties" xmlns:vt="http://schemas.openxmlformats.org/officeDocument/2006/docPropsVTypes"/>
</file>