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D5758" w14:textId="7A1A5BC4" w:rsidR="00AC4521" w:rsidRDefault="005B7FFA" w:rsidP="00FF590C">
      <w:pPr>
        <w:spacing w:line="360" w:lineRule="auto"/>
        <w:jc w:val="center"/>
        <w:rPr>
          <w:rFonts w:ascii="Times New Roman" w:hAnsi="Times New Roman" w:cs="Times New Roman"/>
          <w:b/>
          <w:bCs/>
          <w:sz w:val="36"/>
          <w:szCs w:val="36"/>
        </w:rPr>
      </w:pPr>
      <w:r w:rsidRPr="005B7FFA">
        <w:rPr>
          <w:rFonts w:ascii="Times New Roman" w:hAnsi="Times New Roman" w:cs="Times New Roman"/>
          <w:b/>
          <w:bCs/>
          <w:sz w:val="36"/>
          <w:szCs w:val="36"/>
        </w:rPr>
        <w:t xml:space="preserve">Integrated </w:t>
      </w:r>
      <w:r w:rsidRPr="005B7FFA">
        <w:rPr>
          <w:rFonts w:ascii="Times New Roman" w:hAnsi="Times New Roman" w:cs="Times New Roman"/>
          <w:b/>
          <w:bCs/>
          <w:sz w:val="36"/>
          <w:szCs w:val="36"/>
        </w:rPr>
        <w:t>Business Intelligence</w:t>
      </w:r>
      <w:r w:rsidRPr="005B7FFA">
        <w:rPr>
          <w:rFonts w:ascii="Times New Roman" w:hAnsi="Times New Roman" w:cs="Times New Roman"/>
          <w:b/>
          <w:bCs/>
          <w:sz w:val="36"/>
          <w:szCs w:val="36"/>
        </w:rPr>
        <w:t xml:space="preserve"> and Machine Learning Approach for E-Commerce Sales Forecasting</w:t>
      </w:r>
    </w:p>
    <w:p w14:paraId="180D7D9B" w14:textId="5898556F" w:rsidR="005B7FFA" w:rsidRDefault="005B7FFA" w:rsidP="00FF590C">
      <w:pPr>
        <w:spacing w:line="360" w:lineRule="auto"/>
        <w:jc w:val="center"/>
        <w:rPr>
          <w:rFonts w:ascii="Times New Roman" w:hAnsi="Times New Roman" w:cs="Times New Roman"/>
          <w:b/>
          <w:bCs/>
          <w:sz w:val="36"/>
          <w:szCs w:val="36"/>
        </w:rPr>
      </w:pPr>
    </w:p>
    <w:p w14:paraId="67127104" w14:textId="603F7333" w:rsidR="005B7FFA" w:rsidRDefault="005B7FFA" w:rsidP="00FF590C">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Chapter 2</w:t>
      </w:r>
    </w:p>
    <w:p w14:paraId="7D33553F" w14:textId="355A5D67" w:rsidR="005B7FFA" w:rsidRDefault="005B7FFA" w:rsidP="00FF590C">
      <w:pPr>
        <w:spacing w:line="360" w:lineRule="auto"/>
        <w:jc w:val="center"/>
        <w:rPr>
          <w:rFonts w:ascii="Times New Roman" w:hAnsi="Times New Roman" w:cs="Times New Roman"/>
          <w:b/>
          <w:bCs/>
          <w:sz w:val="36"/>
          <w:szCs w:val="36"/>
        </w:rPr>
      </w:pPr>
    </w:p>
    <w:p w14:paraId="293FA3EB" w14:textId="73C8214A" w:rsidR="00EF7A77" w:rsidRPr="0062477F" w:rsidRDefault="00EF7A77" w:rsidP="0062477F">
      <w:pPr>
        <w:pStyle w:val="Heading1"/>
        <w:spacing w:line="360" w:lineRule="auto"/>
        <w:rPr>
          <w:rFonts w:ascii="Times New Roman" w:hAnsi="Times New Roman" w:cs="Times New Roman"/>
          <w:b/>
          <w:bCs/>
          <w:color w:val="auto"/>
          <w:sz w:val="28"/>
          <w:szCs w:val="28"/>
        </w:rPr>
      </w:pPr>
      <w:r w:rsidRPr="0062477F">
        <w:rPr>
          <w:rFonts w:ascii="Times New Roman" w:hAnsi="Times New Roman" w:cs="Times New Roman"/>
          <w:b/>
          <w:bCs/>
          <w:color w:val="auto"/>
          <w:sz w:val="28"/>
          <w:szCs w:val="28"/>
        </w:rPr>
        <w:t xml:space="preserve">Literature Review </w:t>
      </w:r>
    </w:p>
    <w:p w14:paraId="4D85055D"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Conventional forecasting techniques have extensively been based on statistical time series models which make the assumptions of underlying patterns including trend, seasonality and cyclical components. Box et al. [1] set the strand of the Autoregressive Integrated Moving Average (ARIMA) models that are currently used extensively in sales forecasting. These models work on the premise that past trends can be projected into the future through the formation of autocorrection formations in the data.</w:t>
      </w:r>
    </w:p>
    <w:p w14:paraId="032BA3EB"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 the case of e-commerce applications, Hyndman and Athanasopoulos [2] adapted the conventional time series methods to the special features of retail data such as several seasonality trends and the intermittent demand. The authors presented the Exponential Smoothing State Space Model (ETS) framework that offers a coherent mechanism of addressing trend and seasonality elements without compromising on interpretability that is a vital constraint of business stakeholders.</w:t>
      </w:r>
    </w:p>
    <w:p w14:paraId="3C3C2DC3"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Nevertheless, the shortcomings of the classical statistical procedures when applied to e-commerce have been widely reported. The M3 and M4 forecasting competitions by </w:t>
      </w:r>
      <w:proofErr w:type="spellStart"/>
      <w:r w:rsidRPr="0062477F">
        <w:rPr>
          <w:rFonts w:ascii="Times New Roman" w:hAnsi="Times New Roman" w:cs="Times New Roman"/>
          <w:sz w:val="24"/>
          <w:szCs w:val="24"/>
        </w:rPr>
        <w:t>Makridakis</w:t>
      </w:r>
      <w:proofErr w:type="spellEnd"/>
      <w:r w:rsidRPr="0062477F">
        <w:rPr>
          <w:rFonts w:ascii="Times New Roman" w:hAnsi="Times New Roman" w:cs="Times New Roman"/>
          <w:sz w:val="24"/>
          <w:szCs w:val="24"/>
        </w:rPr>
        <w:t xml:space="preserve"> et al. [3] showed that there is no universal statistical method that performs better than others in different datasets. More importantly, these competitions unveiled that the more traditional approaches fail to work with datasets that have high volatility, promotional interventions, and non-linear relationships which are all attributes of e-commerce sales data.</w:t>
      </w:r>
    </w:p>
    <w:p w14:paraId="6BB45EF1"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Application of the old-fashioned forecasting techniques in e-commerce is fraught with a number of particular issues that are detected in literature. According to Chen and Chen [4], the data of e-</w:t>
      </w:r>
      <w:r w:rsidRPr="0062477F">
        <w:rPr>
          <w:rFonts w:ascii="Times New Roman" w:hAnsi="Times New Roman" w:cs="Times New Roman"/>
          <w:sz w:val="24"/>
          <w:szCs w:val="24"/>
        </w:rPr>
        <w:lastRenderedPageBreak/>
        <w:t>commerce has three properties that do not align with the assumptions of a classical time series model: (1) non-stationarity due to external factors (such as marketing campaigns), (2) a high dimensionality (tens of thousands) due to the presence of thousands of SKUs (Stock Keeping Units), and (3) intermittent demand patterns whereby most of the products have their demand equal to zero.</w:t>
      </w:r>
    </w:p>
    <w:p w14:paraId="01AB30E0"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Moreover, as shown by </w:t>
      </w:r>
      <w:proofErr w:type="spellStart"/>
      <w:r w:rsidRPr="0062477F">
        <w:rPr>
          <w:rFonts w:ascii="Times New Roman" w:hAnsi="Times New Roman" w:cs="Times New Roman"/>
          <w:sz w:val="24"/>
          <w:szCs w:val="24"/>
        </w:rPr>
        <w:t>Pavlyshenko</w:t>
      </w:r>
      <w:proofErr w:type="spellEnd"/>
      <w:r w:rsidRPr="0062477F">
        <w:rPr>
          <w:rFonts w:ascii="Times New Roman" w:hAnsi="Times New Roman" w:cs="Times New Roman"/>
          <w:sz w:val="24"/>
          <w:szCs w:val="24"/>
        </w:rPr>
        <w:t xml:space="preserve"> [5], the definition of the traditional models does not bring exogenous variables to the fore. Although ARIMA with exogenous inputs (ARIMAX) theoretically allows the addition of external factors, the linearity assumption makes it incapable of producing any complex interaction between variables, including price fluctuations, competitor behaviors, and customer moods. The paper found that under the conditions of the conditions of the e-commerce platforms with dynamic pricing and frequent promotions, the traditional statistical models make forecast errors more than 30% in the period of the peaks.</w:t>
      </w:r>
    </w:p>
    <w:p w14:paraId="1F7EB574"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XGBoost (Extreme Gradient Boosting) proposed by Chen and </w:t>
      </w:r>
      <w:proofErr w:type="spellStart"/>
      <w:r w:rsidRPr="0062477F">
        <w:rPr>
          <w:rFonts w:ascii="Times New Roman" w:hAnsi="Times New Roman" w:cs="Times New Roman"/>
          <w:sz w:val="24"/>
          <w:szCs w:val="24"/>
        </w:rPr>
        <w:t>Guestrin</w:t>
      </w:r>
      <w:proofErr w:type="spellEnd"/>
      <w:r w:rsidRPr="0062477F">
        <w:rPr>
          <w:rFonts w:ascii="Times New Roman" w:hAnsi="Times New Roman" w:cs="Times New Roman"/>
          <w:sz w:val="24"/>
          <w:szCs w:val="24"/>
        </w:rPr>
        <w:t xml:space="preserve"> [6] has now become one of the landmark algorithms when it comes to sales forecasting tasks. The algorithm uses gradient boosting framework with regularization to avoid overfitting, which is an important factor when using high-dimensional e-commerce data. The authors proved that XGBoost is always better in structured problems of data when compared to the traditional methods and is more accurate but computationally efficient.</w:t>
      </w:r>
    </w:p>
    <w:p w14:paraId="5B03DFD5"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These findings have been confirmed by comparative studies in e-commerce situations. </w:t>
      </w:r>
      <w:proofErr w:type="spellStart"/>
      <w:r w:rsidRPr="0062477F">
        <w:rPr>
          <w:rFonts w:ascii="Times New Roman" w:hAnsi="Times New Roman" w:cs="Times New Roman"/>
          <w:sz w:val="24"/>
          <w:szCs w:val="24"/>
        </w:rPr>
        <w:t>Pavlyshenko</w:t>
      </w:r>
      <w:proofErr w:type="spellEnd"/>
      <w:r w:rsidRPr="0062477F">
        <w:rPr>
          <w:rFonts w:ascii="Times New Roman" w:hAnsi="Times New Roman" w:cs="Times New Roman"/>
          <w:sz w:val="24"/>
          <w:szCs w:val="24"/>
        </w:rPr>
        <w:t xml:space="preserve"> [5] compared several machine learning algorithms such as XGBoost, Random Forest, and neural networks with the ARIMA models based on the data of an online retailer. The research discovered that XGBoost minimized the forecasting error by 23.2 percent on average over ARIMA and the effects were more significant during promotional events. It was found that the algorithms had the capability of automatically taking into account the interaction effect of features like the combined effect of discount percentage and product category, as one of the modes of superior performance.</w:t>
      </w:r>
    </w:p>
    <w:p w14:paraId="3EAEE42B"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Another improvement was introduced by </w:t>
      </w:r>
      <w:proofErr w:type="spellStart"/>
      <w:r w:rsidRPr="0062477F">
        <w:rPr>
          <w:rFonts w:ascii="Times New Roman" w:hAnsi="Times New Roman" w:cs="Times New Roman"/>
          <w:sz w:val="24"/>
          <w:szCs w:val="24"/>
        </w:rPr>
        <w:t>LightGBM</w:t>
      </w:r>
      <w:proofErr w:type="spellEnd"/>
      <w:r w:rsidRPr="0062477F">
        <w:rPr>
          <w:rFonts w:ascii="Times New Roman" w:hAnsi="Times New Roman" w:cs="Times New Roman"/>
          <w:sz w:val="24"/>
          <w:szCs w:val="24"/>
        </w:rPr>
        <w:t xml:space="preserve"> that was proposed by </w:t>
      </w:r>
      <w:proofErr w:type="spellStart"/>
      <w:r w:rsidRPr="0062477F">
        <w:rPr>
          <w:rFonts w:ascii="Times New Roman" w:hAnsi="Times New Roman" w:cs="Times New Roman"/>
          <w:sz w:val="24"/>
          <w:szCs w:val="24"/>
        </w:rPr>
        <w:t>Ke</w:t>
      </w:r>
      <w:proofErr w:type="spellEnd"/>
      <w:r w:rsidRPr="0062477F">
        <w:rPr>
          <w:rFonts w:ascii="Times New Roman" w:hAnsi="Times New Roman" w:cs="Times New Roman"/>
          <w:sz w:val="24"/>
          <w:szCs w:val="24"/>
        </w:rPr>
        <w:t xml:space="preserve"> et al. [7], which employed the use of gradient-based one-sided sampling and exclusive feature bundling. Such innovations allow reducing training time without loss or degradation in accuracy, and thus the algorithm can be used especially well in the e-commerce application, where one needs frequent </w:t>
      </w:r>
      <w:r w:rsidRPr="0062477F">
        <w:rPr>
          <w:rFonts w:ascii="Times New Roman" w:hAnsi="Times New Roman" w:cs="Times New Roman"/>
          <w:sz w:val="24"/>
          <w:szCs w:val="24"/>
        </w:rPr>
        <w:lastRenderedPageBreak/>
        <w:t>model retraining. The fact that the categorical features are processed by the algorithm without the need to encode them as one-hot is also a simplification in terms of integrating it with the BI systems that tend to store categorical data like product categories and customer segments.</w:t>
      </w:r>
    </w:p>
    <w:p w14:paraId="56740DC7" w14:textId="0C00455A"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S. S. R. K. T. V. S. Kiran [8] used LSTM networks to SKU-level e-commerce forecasting and also stated that it outperformed ARIMA and feed-forward neural networks. Nevertheless, the author observed that LSTM models take considerable amounts of training data and computational resources and can be a challenge when it comes to deploying smaller e-commerce processes.</w:t>
      </w:r>
    </w:p>
    <w:p w14:paraId="3D41620F"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Attention-based architectures have also recently shown state of the art performance in time series forecasting. The Transformer architecture, presented by Vaswani et al. [9] instead of recurrent connections substitutes them with self-attention mechanisms. To do sales forecasting Wu et al. [10] suggested the Informer model, which is quadratically simple, but offers long-sequence forecasting. These architectures provide the chance to represent short-term fluctuations and long-term dependencies at the same time.</w:t>
      </w:r>
    </w:p>
    <w:p w14:paraId="105BC054"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Bontempi et al. [11] came up with an algorithm form of integrating ARIMA and neural networks, with ARIMA representing the linear aspects and neural networks representing the non-linear trends in the residues. The experimental analysis of e-commerce data proved that this hybrid model can reduce the error rates compared to either technique. The modular architecture of the framework is also compatible with integrated BI-ML systems in which various components may be processed using distinct data streams.</w:t>
      </w:r>
    </w:p>
    <w:p w14:paraId="2AEE190E"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On the same note, Bandara et al. [12] presented a hybrid method that uses exponential smoothing and LSTM networks. The research established that exponential smoothing of the data to remove trend and seasonality was a significant performance enhancement of LSTM since this step enabled the neural network to concentrate on the more valuable non-linear association as opposed to underpinning temporal trends.</w:t>
      </w:r>
    </w:p>
    <w:p w14:paraId="0B43ECF4"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Any BI system is based on the data architecture. Kimball and Ross [13] made the dimensional modeling approach the overall paradigm in the data warehousing. The star schema, which is made of fact tables which hold the quantitative values and dimension tables which hold the descriptive information, gives the business users an intuitive design but the query performance is achieved efficiently.</w:t>
      </w:r>
    </w:p>
    <w:p w14:paraId="47E60F54"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lastRenderedPageBreak/>
        <w:t xml:space="preserve">In the case of e-commerce applications, there have arisen certain dimensional modeling patterns. The table of facts identified by </w:t>
      </w:r>
      <w:proofErr w:type="spellStart"/>
      <w:r w:rsidRPr="0062477F">
        <w:rPr>
          <w:rFonts w:ascii="Times New Roman" w:hAnsi="Times New Roman" w:cs="Times New Roman"/>
          <w:sz w:val="24"/>
          <w:szCs w:val="24"/>
        </w:rPr>
        <w:t>Golfarelli</w:t>
      </w:r>
      <w:proofErr w:type="spellEnd"/>
      <w:r w:rsidRPr="0062477F">
        <w:rPr>
          <w:rFonts w:ascii="Times New Roman" w:hAnsi="Times New Roman" w:cs="Times New Roman"/>
          <w:sz w:val="24"/>
          <w:szCs w:val="24"/>
        </w:rPr>
        <w:t xml:space="preserve"> and Rizzi [14] are sales transactions, movements and interacts with customers, and these dimensions are in turn divided into time, product, customer and channel. The authors have stressed that a properly built data warehouse is not just used to conduct reporting but also to provide an uncontaminated and coherent dataset to train the ML model which is considered a vital factor of integrated BI-ML systems.</w:t>
      </w:r>
    </w:p>
    <w:p w14:paraId="5FE6D651"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The most common interface of business stakeholders with BI systems is descriptive analytics, which is implemented using interactive dashboards. The design principles of effective dashboards were developed by Few et al. [15], since it is necessary to pay attention to such aspects of a good dashboard as visual hierarchy, contextual information, and actionable metrics. In the case of sales forecasting applications, dashboards should not only show the values of the forecasts but also the uncertainty range and factors that contributes to making appropriate decisions.</w:t>
      </w:r>
    </w:p>
    <w:p w14:paraId="18035BE3"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BI and ML systems integration have both technical and organizational challenges. The systematic literature review by Popovic et al. [16] into the business intelligence and analytics domain revealed that the gap between the descriptive and predictive analytics in the aspects of integration was one of the issues that remained constant. The authors suggested a maturity model in which organizations move to individual BI and ML implementations to combined systems with predictions entrenched in the BI dashboards and BI insights guiding the creation of features to the ML models.</w:t>
      </w:r>
    </w:p>
    <w:p w14:paraId="53E8D387"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Apache Spark is a comprehensive engine of big data processing that is proposed by Zaharia et al. [17] and can be used to execute both BI workloads and ML workloads. This integrated architecture makes it easier to maintain a separate pipeline of reporting and modeling and therefore organizations have the capability of implementing integrated systems in a more cost-effective way. In the case of e-commerce applications, the fact that it is able to make use of streaming data to generate real-time features is an enormous plus.</w:t>
      </w:r>
    </w:p>
    <w:p w14:paraId="2607C77F"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The essential complication in the implementation of ML alongside BI is the black box character of intricate models. Barredo Arrieta et al. [18] presented a taxonomy of explainable artificial intelligence (XAI) techniques in detail, differentiating between methods of intrinsically interpretable models and post-hoc explanation methods. In the case of BI dashboards that are </w:t>
      </w:r>
      <w:r w:rsidRPr="0062477F">
        <w:rPr>
          <w:rFonts w:ascii="Times New Roman" w:hAnsi="Times New Roman" w:cs="Times New Roman"/>
          <w:sz w:val="24"/>
          <w:szCs w:val="24"/>
        </w:rPr>
        <w:lastRenderedPageBreak/>
        <w:t>required to assist in business decision-making, the authors highlighted that the explanations should be given in accordance with the technical capabilities of the stakeholder.</w:t>
      </w:r>
    </w:p>
    <w:p w14:paraId="137D2ABB"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Lundberg and Lee [19] came up with SHAP (</w:t>
      </w:r>
      <w:proofErr w:type="spellStart"/>
      <w:r w:rsidRPr="0062477F">
        <w:rPr>
          <w:rFonts w:ascii="Times New Roman" w:hAnsi="Times New Roman" w:cs="Times New Roman"/>
          <w:sz w:val="24"/>
          <w:szCs w:val="24"/>
        </w:rPr>
        <w:t>SHapley</w:t>
      </w:r>
      <w:proofErr w:type="spellEnd"/>
      <w:r w:rsidRPr="0062477F">
        <w:rPr>
          <w:rFonts w:ascii="Times New Roman" w:hAnsi="Times New Roman" w:cs="Times New Roman"/>
          <w:sz w:val="24"/>
          <w:szCs w:val="24"/>
        </w:rPr>
        <w:t xml:space="preserve"> Additive </w:t>
      </w:r>
      <w:proofErr w:type="spellStart"/>
      <w:r w:rsidRPr="0062477F">
        <w:rPr>
          <w:rFonts w:ascii="Times New Roman" w:hAnsi="Times New Roman" w:cs="Times New Roman"/>
          <w:sz w:val="24"/>
          <w:szCs w:val="24"/>
        </w:rPr>
        <w:t>exPlanations</w:t>
      </w:r>
      <w:proofErr w:type="spellEnd"/>
      <w:r w:rsidRPr="0062477F">
        <w:rPr>
          <w:rFonts w:ascii="Times New Roman" w:hAnsi="Times New Roman" w:cs="Times New Roman"/>
          <w:sz w:val="24"/>
          <w:szCs w:val="24"/>
        </w:rPr>
        <w:t>), a single framework of interpreting model predictions in terms of cooperative game theory. SHAP values break down predictions into feature contributions, which present consistent explanations that can be represented in BI dashboards. In the case of sales forecasting, SHAP explanations can determine whether a decrease in a forecast is caused by seasonality, price variation, or external variables that allow stakeholders to make the right decisions.</w:t>
      </w:r>
    </w:p>
    <w:p w14:paraId="43DD085F"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Sculley et al. [20] pointed at the concept of the hidden technical debt of machine learning systems and suggested that the ML algorithm comprises of a very small part of the overall complexity of the system. The authors named data validation, feature management, and model monitoring as the most important elements that are frequently overlooked in research-oriented ML projects. In case of integrated BI-ML systems, these factors are further enhanced by the requirement to ensure compatibility with particular BI infrastructure present.</w:t>
      </w:r>
    </w:p>
    <w:p w14:paraId="11970672" w14:textId="77777777" w:rsidR="0062477F" w:rsidRPr="0062477F" w:rsidRDefault="0062477F" w:rsidP="0062477F">
      <w:pPr>
        <w:spacing w:line="360" w:lineRule="auto"/>
        <w:jc w:val="both"/>
        <w:rPr>
          <w:rFonts w:ascii="Times New Roman" w:hAnsi="Times New Roman" w:cs="Times New Roman"/>
          <w:sz w:val="24"/>
          <w:szCs w:val="24"/>
        </w:rPr>
      </w:pPr>
      <w:proofErr w:type="spellStart"/>
      <w:r w:rsidRPr="0062477F">
        <w:rPr>
          <w:rFonts w:ascii="Times New Roman" w:hAnsi="Times New Roman" w:cs="Times New Roman"/>
          <w:sz w:val="24"/>
          <w:szCs w:val="24"/>
        </w:rPr>
        <w:t>Kreuzberger</w:t>
      </w:r>
      <w:proofErr w:type="spellEnd"/>
      <w:r w:rsidRPr="0062477F">
        <w:rPr>
          <w:rFonts w:ascii="Times New Roman" w:hAnsi="Times New Roman" w:cs="Times New Roman"/>
          <w:sz w:val="24"/>
          <w:szCs w:val="24"/>
        </w:rPr>
        <w:t xml:space="preserve"> et al. [21] offered a systemic overview of </w:t>
      </w:r>
      <w:proofErr w:type="spellStart"/>
      <w:r w:rsidRPr="0062477F">
        <w:rPr>
          <w:rFonts w:ascii="Times New Roman" w:hAnsi="Times New Roman" w:cs="Times New Roman"/>
          <w:sz w:val="24"/>
          <w:szCs w:val="24"/>
        </w:rPr>
        <w:t>MLOps</w:t>
      </w:r>
      <w:proofErr w:type="spellEnd"/>
      <w:r w:rsidRPr="0062477F">
        <w:rPr>
          <w:rFonts w:ascii="Times New Roman" w:hAnsi="Times New Roman" w:cs="Times New Roman"/>
          <w:sz w:val="24"/>
          <w:szCs w:val="24"/>
        </w:rPr>
        <w:t xml:space="preserve"> practices, with continuous integration, continuous deployment, and continuous monitoring as the key capabilities of production ML systems. In the e-commerce forecasting case, </w:t>
      </w:r>
      <w:proofErr w:type="spellStart"/>
      <w:r w:rsidRPr="0062477F">
        <w:rPr>
          <w:rFonts w:ascii="Times New Roman" w:hAnsi="Times New Roman" w:cs="Times New Roman"/>
          <w:sz w:val="24"/>
          <w:szCs w:val="24"/>
        </w:rPr>
        <w:t>MLOps</w:t>
      </w:r>
      <w:proofErr w:type="spellEnd"/>
      <w:r w:rsidRPr="0062477F">
        <w:rPr>
          <w:rFonts w:ascii="Times New Roman" w:hAnsi="Times New Roman" w:cs="Times New Roman"/>
          <w:sz w:val="24"/>
          <w:szCs w:val="24"/>
        </w:rPr>
        <w:t xml:space="preserve"> can be used to perform automated retraining of models in reaction to data drift, which is a natural phenomenon as the market conditions and customer behavior change. </w:t>
      </w:r>
      <w:proofErr w:type="spellStart"/>
      <w:r w:rsidRPr="0062477F">
        <w:rPr>
          <w:rFonts w:ascii="Times New Roman" w:hAnsi="Times New Roman" w:cs="Times New Roman"/>
          <w:sz w:val="24"/>
          <w:szCs w:val="24"/>
        </w:rPr>
        <w:t>MLOps</w:t>
      </w:r>
      <w:proofErr w:type="spellEnd"/>
      <w:r w:rsidRPr="0062477F">
        <w:rPr>
          <w:rFonts w:ascii="Times New Roman" w:hAnsi="Times New Roman" w:cs="Times New Roman"/>
          <w:sz w:val="24"/>
          <w:szCs w:val="24"/>
        </w:rPr>
        <w:t xml:space="preserve"> and BI dashboard integration allow notifying stakeholders about the need to retrench models and their bad performance.</w:t>
      </w:r>
    </w:p>
    <w:p w14:paraId="69DF0666"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Input features are very crucial to the functionality of ML models. Dawson [22] has shown that marketing mix variables are important in e-commerce forecasting by demonstrating that the model that uses advertising expenditure, social media interaction, and email campaign measurements have a great impact in comparison to models that are based on past history sales only. The paper has pointed out that these marketing metrics are normally handled in BI systems, which explains the importance of integration.</w:t>
      </w:r>
    </w:p>
    <w:p w14:paraId="2C055FBB" w14:textId="77777777" w:rsidR="0062477F" w:rsidRPr="0062477F" w:rsidRDefault="0062477F" w:rsidP="0062477F">
      <w:pPr>
        <w:spacing w:line="360" w:lineRule="auto"/>
        <w:jc w:val="both"/>
        <w:rPr>
          <w:rFonts w:ascii="Times New Roman" w:hAnsi="Times New Roman" w:cs="Times New Roman"/>
          <w:sz w:val="24"/>
          <w:szCs w:val="24"/>
        </w:rPr>
      </w:pPr>
      <w:proofErr w:type="spellStart"/>
      <w:r w:rsidRPr="0062477F">
        <w:rPr>
          <w:rFonts w:ascii="Times New Roman" w:hAnsi="Times New Roman" w:cs="Times New Roman"/>
          <w:sz w:val="24"/>
          <w:szCs w:val="24"/>
        </w:rPr>
        <w:t>Makridakis</w:t>
      </w:r>
      <w:proofErr w:type="spellEnd"/>
      <w:r w:rsidRPr="0062477F">
        <w:rPr>
          <w:rFonts w:ascii="Times New Roman" w:hAnsi="Times New Roman" w:cs="Times New Roman"/>
          <w:sz w:val="24"/>
          <w:szCs w:val="24"/>
        </w:rPr>
        <w:t xml:space="preserve"> et al. [23] highlighted that it is not possible to measure all the factors of forecast quality using a single metric. The authors suggested the consideration of forecasts in terms of several </w:t>
      </w:r>
      <w:r w:rsidRPr="0062477F">
        <w:rPr>
          <w:rFonts w:ascii="Times New Roman" w:hAnsi="Times New Roman" w:cs="Times New Roman"/>
          <w:sz w:val="24"/>
          <w:szCs w:val="24"/>
        </w:rPr>
        <w:lastRenderedPageBreak/>
        <w:t xml:space="preserve">complementary aspects: RMSE to penalize big errors, MAE to comprehend the average magnitude of errors, and </w:t>
      </w:r>
      <w:proofErr w:type="spellStart"/>
      <w:r w:rsidRPr="0062477F">
        <w:rPr>
          <w:rFonts w:ascii="Times New Roman" w:hAnsi="Times New Roman" w:cs="Times New Roman"/>
          <w:sz w:val="24"/>
          <w:szCs w:val="24"/>
        </w:rPr>
        <w:t>sMAPE</w:t>
      </w:r>
      <w:proofErr w:type="spellEnd"/>
      <w:r w:rsidRPr="0062477F">
        <w:rPr>
          <w:rFonts w:ascii="Times New Roman" w:hAnsi="Times New Roman" w:cs="Times New Roman"/>
          <w:sz w:val="24"/>
          <w:szCs w:val="24"/>
        </w:rPr>
        <w:t xml:space="preserve"> to compare across the products with various sales volumes.</w:t>
      </w:r>
    </w:p>
    <w:p w14:paraId="65365941" w14:textId="77777777" w:rsidR="0062477F" w:rsidRPr="0062477F"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In addition to the statistical accuracy, it is important to determine the business value of improving the forecasting. The inventory cost framework was developed by Chopra and Meindl [24] and it shows that the accuracy of the forecast has a direct proportional relation to the levels of safety stock and service rates. The authors demonstrated how a 10% decrease in the forecast error will help decrease the total inventory costs by 15-20 percent in the form of decreased safety stock and decreased stockouts.</w:t>
      </w:r>
    </w:p>
    <w:p w14:paraId="51B8498B" w14:textId="4F3FC038" w:rsidR="000C74C7" w:rsidRDefault="0062477F" w:rsidP="0062477F">
      <w:pPr>
        <w:spacing w:line="360" w:lineRule="auto"/>
        <w:jc w:val="both"/>
        <w:rPr>
          <w:rFonts w:ascii="Times New Roman" w:hAnsi="Times New Roman" w:cs="Times New Roman"/>
          <w:sz w:val="24"/>
          <w:szCs w:val="24"/>
        </w:rPr>
      </w:pPr>
      <w:r w:rsidRPr="0062477F">
        <w:rPr>
          <w:rFonts w:ascii="Times New Roman" w:hAnsi="Times New Roman" w:cs="Times New Roman"/>
          <w:sz w:val="24"/>
          <w:szCs w:val="24"/>
        </w:rPr>
        <w:t xml:space="preserve">In the case of e-commerce applications, inventory is not the only area that incurs expenses related to forecasting errors. Boone et al. [25] studied the effects of errors in the forecasts on customer satisfaction and concluded that stockouts during the peak season </w:t>
      </w:r>
      <w:proofErr w:type="gramStart"/>
      <w:r w:rsidRPr="0062477F">
        <w:rPr>
          <w:rFonts w:ascii="Times New Roman" w:hAnsi="Times New Roman" w:cs="Times New Roman"/>
          <w:sz w:val="24"/>
          <w:szCs w:val="24"/>
        </w:rPr>
        <w:t>lead</w:t>
      </w:r>
      <w:proofErr w:type="gramEnd"/>
      <w:r w:rsidRPr="0062477F">
        <w:rPr>
          <w:rFonts w:ascii="Times New Roman" w:hAnsi="Times New Roman" w:cs="Times New Roman"/>
          <w:sz w:val="24"/>
          <w:szCs w:val="24"/>
        </w:rPr>
        <w:t xml:space="preserve"> to irreparable customer churn rates of more than 20 percent in case of high-value customer groups. These results emphasize the business importance of enhancing the accuracy of the forecasts by using the integrated BI-ML models.</w:t>
      </w:r>
    </w:p>
    <w:p w14:paraId="5BBE0FDD" w14:textId="77777777" w:rsidR="0062477F" w:rsidRPr="000C74C7" w:rsidRDefault="0062477F" w:rsidP="0062477F">
      <w:pPr>
        <w:spacing w:line="360" w:lineRule="auto"/>
        <w:jc w:val="both"/>
        <w:rPr>
          <w:rFonts w:ascii="Times New Roman" w:hAnsi="Times New Roman" w:cs="Times New Roman"/>
          <w:sz w:val="24"/>
          <w:szCs w:val="24"/>
        </w:rPr>
      </w:pPr>
    </w:p>
    <w:p w14:paraId="25EA3F07" w14:textId="77777777" w:rsidR="000C74C7" w:rsidRPr="0062477F" w:rsidRDefault="000C74C7" w:rsidP="00FF590C">
      <w:pPr>
        <w:pStyle w:val="Heading1"/>
        <w:spacing w:line="360" w:lineRule="auto"/>
        <w:rPr>
          <w:rFonts w:ascii="Times New Roman" w:hAnsi="Times New Roman" w:cs="Times New Roman"/>
          <w:b/>
          <w:bCs/>
          <w:color w:val="auto"/>
          <w:sz w:val="28"/>
          <w:szCs w:val="28"/>
        </w:rPr>
      </w:pPr>
      <w:r w:rsidRPr="0062477F">
        <w:rPr>
          <w:rFonts w:ascii="Times New Roman" w:hAnsi="Times New Roman" w:cs="Times New Roman"/>
          <w:b/>
          <w:bCs/>
          <w:color w:val="auto"/>
          <w:sz w:val="28"/>
          <w:szCs w:val="28"/>
        </w:rPr>
        <w:t>References</w:t>
      </w:r>
    </w:p>
    <w:p w14:paraId="30AFE058" w14:textId="6E05CB86" w:rsidR="000C74C7" w:rsidRPr="006D2EFC" w:rsidRDefault="000C74C7" w:rsidP="006D2EFC">
      <w:pPr>
        <w:spacing w:line="360" w:lineRule="auto"/>
        <w:jc w:val="both"/>
        <w:rPr>
          <w:rFonts w:ascii="Times New Roman" w:hAnsi="Times New Roman" w:cs="Times New Roman"/>
          <w:sz w:val="24"/>
          <w:szCs w:val="24"/>
        </w:rPr>
      </w:pPr>
      <w:r w:rsidRPr="006D2EFC">
        <w:rPr>
          <w:rFonts w:ascii="Times New Roman" w:hAnsi="Times New Roman" w:cs="Times New Roman"/>
          <w:sz w:val="24"/>
          <w:szCs w:val="24"/>
        </w:rPr>
        <w:t>[1] G. E. P. Box, G. M. Jenkins, G. C. Reinsel, and G. M. Ljung, Time Series Analysis: Forecasting and Control, 5th ed. Hoboken, NJ, USA: Wiley, 2015.</w:t>
      </w:r>
    </w:p>
    <w:p w14:paraId="7EF30F78" w14:textId="7D5CD96E" w:rsidR="000C74C7" w:rsidRPr="006D2EFC" w:rsidRDefault="000C74C7" w:rsidP="006D2EFC">
      <w:pPr>
        <w:spacing w:line="360" w:lineRule="auto"/>
        <w:jc w:val="both"/>
        <w:rPr>
          <w:rFonts w:ascii="Times New Roman" w:hAnsi="Times New Roman" w:cs="Times New Roman"/>
          <w:sz w:val="24"/>
          <w:szCs w:val="24"/>
        </w:rPr>
      </w:pPr>
      <w:r w:rsidRPr="006D2EFC">
        <w:rPr>
          <w:rFonts w:ascii="Times New Roman" w:hAnsi="Times New Roman" w:cs="Times New Roman"/>
          <w:sz w:val="24"/>
          <w:szCs w:val="24"/>
        </w:rPr>
        <w:t xml:space="preserve">[2] R. J. Hyndman and G. Athanasopoulos, Forecasting: Principles and Practice, 3rd ed. Melbourne, VIC, Australia: </w:t>
      </w:r>
      <w:proofErr w:type="spellStart"/>
      <w:r w:rsidRPr="006D2EFC">
        <w:rPr>
          <w:rFonts w:ascii="Times New Roman" w:hAnsi="Times New Roman" w:cs="Times New Roman"/>
          <w:sz w:val="24"/>
          <w:szCs w:val="24"/>
        </w:rPr>
        <w:t>OTexts</w:t>
      </w:r>
      <w:proofErr w:type="spellEnd"/>
      <w:r w:rsidRPr="006D2EFC">
        <w:rPr>
          <w:rFonts w:ascii="Times New Roman" w:hAnsi="Times New Roman" w:cs="Times New Roman"/>
          <w:sz w:val="24"/>
          <w:szCs w:val="24"/>
        </w:rPr>
        <w:t>, 2021.</w:t>
      </w:r>
    </w:p>
    <w:p w14:paraId="5DBB03E3" w14:textId="6F5DD262" w:rsidR="000C74C7" w:rsidRPr="006D2EFC" w:rsidRDefault="000C74C7" w:rsidP="006D2EFC">
      <w:pPr>
        <w:spacing w:line="360" w:lineRule="auto"/>
        <w:jc w:val="both"/>
        <w:rPr>
          <w:rFonts w:ascii="Times New Roman" w:hAnsi="Times New Roman" w:cs="Times New Roman"/>
          <w:sz w:val="24"/>
          <w:szCs w:val="24"/>
        </w:rPr>
      </w:pPr>
      <w:r w:rsidRPr="006D2EFC">
        <w:rPr>
          <w:rFonts w:ascii="Times New Roman" w:hAnsi="Times New Roman" w:cs="Times New Roman"/>
          <w:sz w:val="24"/>
          <w:szCs w:val="24"/>
        </w:rPr>
        <w:t xml:space="preserve">[3] S. </w:t>
      </w:r>
      <w:proofErr w:type="spellStart"/>
      <w:r w:rsidRPr="006D2EFC">
        <w:rPr>
          <w:rFonts w:ascii="Times New Roman" w:hAnsi="Times New Roman" w:cs="Times New Roman"/>
          <w:sz w:val="24"/>
          <w:szCs w:val="24"/>
        </w:rPr>
        <w:t>Makridakis</w:t>
      </w:r>
      <w:proofErr w:type="spellEnd"/>
      <w:r w:rsidRPr="006D2EFC">
        <w:rPr>
          <w:rFonts w:ascii="Times New Roman" w:hAnsi="Times New Roman" w:cs="Times New Roman"/>
          <w:sz w:val="24"/>
          <w:szCs w:val="24"/>
        </w:rPr>
        <w:t xml:space="preserve">, E. Spiliotis, and V. </w:t>
      </w:r>
      <w:proofErr w:type="spellStart"/>
      <w:r w:rsidRPr="006D2EFC">
        <w:rPr>
          <w:rFonts w:ascii="Times New Roman" w:hAnsi="Times New Roman" w:cs="Times New Roman"/>
          <w:sz w:val="24"/>
          <w:szCs w:val="24"/>
        </w:rPr>
        <w:t>Assimakopoulos</w:t>
      </w:r>
      <w:proofErr w:type="spellEnd"/>
      <w:r w:rsidRPr="006D2EFC">
        <w:rPr>
          <w:rFonts w:ascii="Times New Roman" w:hAnsi="Times New Roman" w:cs="Times New Roman"/>
          <w:sz w:val="24"/>
          <w:szCs w:val="24"/>
        </w:rPr>
        <w:t>, "The M4 Competition: Results, findings, conclusion and way forward," International Journal of Forecasting, vol. 34, no. 4, pp. 802–808, Oct. 2018.</w:t>
      </w:r>
    </w:p>
    <w:p w14:paraId="59B479C0" w14:textId="6E0E5D73"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[4] L. Chen and C. Chen, "Customer behavior analysis and sales forecasting based on big data," Journal of Physics: Conference Series, vol. 1631, no. 1, p. 012123, Sep. 2020.</w:t>
      </w:r>
    </w:p>
    <w:p w14:paraId="1E08E6CF" w14:textId="3823F4CC"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 xml:space="preserve">[5] B. </w:t>
      </w:r>
      <w:proofErr w:type="spellStart"/>
      <w:r w:rsidRPr="000C74C7">
        <w:rPr>
          <w:rFonts w:ascii="Times New Roman" w:hAnsi="Times New Roman" w:cs="Times New Roman"/>
          <w:sz w:val="24"/>
          <w:szCs w:val="24"/>
        </w:rPr>
        <w:t>Pavlyshenko</w:t>
      </w:r>
      <w:proofErr w:type="spellEnd"/>
      <w:r w:rsidRPr="000C74C7">
        <w:rPr>
          <w:rFonts w:ascii="Times New Roman" w:hAnsi="Times New Roman" w:cs="Times New Roman"/>
          <w:sz w:val="24"/>
          <w:szCs w:val="24"/>
        </w:rPr>
        <w:t>, "Machine learning models for sales forecasting in e-commerce," in Proc. IEEE International Conference on Data Science and Advanced Analytics (DSAA), Washington, DC, USA, 2019, pp. 399–406.</w:t>
      </w:r>
    </w:p>
    <w:p w14:paraId="3A28953E" w14:textId="5672FEDD"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lastRenderedPageBreak/>
        <w:t xml:space="preserve">[6] T. Chen and C. </w:t>
      </w:r>
      <w:proofErr w:type="spellStart"/>
      <w:r w:rsidRPr="000C74C7">
        <w:rPr>
          <w:rFonts w:ascii="Times New Roman" w:hAnsi="Times New Roman" w:cs="Times New Roman"/>
          <w:sz w:val="24"/>
          <w:szCs w:val="24"/>
        </w:rPr>
        <w:t>Guestrin</w:t>
      </w:r>
      <w:proofErr w:type="spellEnd"/>
      <w:r w:rsidRPr="000C74C7">
        <w:rPr>
          <w:rFonts w:ascii="Times New Roman" w:hAnsi="Times New Roman" w:cs="Times New Roman"/>
          <w:sz w:val="24"/>
          <w:szCs w:val="24"/>
        </w:rPr>
        <w:t>, "XGBoost: A scalable tree boosting system," in Proc. 22nd ACM SIGKDD International Conference on Knowledge Discovery and Data Mining, San Francisco, CA, USA, 2016, pp. 785–794.</w:t>
      </w:r>
    </w:p>
    <w:p w14:paraId="045C297B" w14:textId="14A84C70"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 xml:space="preserve">[7] G. </w:t>
      </w:r>
      <w:proofErr w:type="spellStart"/>
      <w:r w:rsidRPr="000C74C7">
        <w:rPr>
          <w:rFonts w:ascii="Times New Roman" w:hAnsi="Times New Roman" w:cs="Times New Roman"/>
          <w:sz w:val="24"/>
          <w:szCs w:val="24"/>
        </w:rPr>
        <w:t>Ke</w:t>
      </w:r>
      <w:proofErr w:type="spellEnd"/>
      <w:r w:rsidRPr="000C74C7">
        <w:rPr>
          <w:rFonts w:ascii="Times New Roman" w:hAnsi="Times New Roman" w:cs="Times New Roman"/>
          <w:sz w:val="24"/>
          <w:szCs w:val="24"/>
        </w:rPr>
        <w:t>, Q. Meng, T. Finley, T. Wang, W. Chen, W. Ma, Q. Ye, and T.-Y. Liu, "</w:t>
      </w:r>
      <w:proofErr w:type="spellStart"/>
      <w:r w:rsidRPr="000C74C7">
        <w:rPr>
          <w:rFonts w:ascii="Times New Roman" w:hAnsi="Times New Roman" w:cs="Times New Roman"/>
          <w:sz w:val="24"/>
          <w:szCs w:val="24"/>
        </w:rPr>
        <w:t>LightGBM</w:t>
      </w:r>
      <w:proofErr w:type="spellEnd"/>
      <w:r w:rsidRPr="000C74C7">
        <w:rPr>
          <w:rFonts w:ascii="Times New Roman" w:hAnsi="Times New Roman" w:cs="Times New Roman"/>
          <w:sz w:val="24"/>
          <w:szCs w:val="24"/>
        </w:rPr>
        <w:t>: A highly efficient gradient boosting decision tree," in Advances in Neural Information Processing Systems, vol. 30, Long Beach, CA, USA, 2017, pp. 3146–3154.</w:t>
      </w:r>
    </w:p>
    <w:p w14:paraId="40B1F2C2" w14:textId="357BA277"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w:t>
      </w:r>
      <w:r w:rsidR="003F7DE9">
        <w:rPr>
          <w:rFonts w:ascii="Times New Roman" w:hAnsi="Times New Roman" w:cs="Times New Roman"/>
          <w:sz w:val="24"/>
          <w:szCs w:val="24"/>
        </w:rPr>
        <w:t>8</w:t>
      </w:r>
      <w:r w:rsidRPr="000C74C7">
        <w:rPr>
          <w:rFonts w:ascii="Times New Roman" w:hAnsi="Times New Roman" w:cs="Times New Roman"/>
          <w:sz w:val="24"/>
          <w:szCs w:val="24"/>
        </w:rPr>
        <w:t>] S. S. R. K. T. V. S. Kiran, "Deep learning model for sales forecasting in e-commerce," International Journal of Engineering Research &amp; Technology, vol. 10, no. 4, pp. 138–143, Apr. 2021.</w:t>
      </w:r>
    </w:p>
    <w:p w14:paraId="68D154B8" w14:textId="29A70526"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w:t>
      </w:r>
      <w:r w:rsidR="003F7DE9">
        <w:rPr>
          <w:rFonts w:ascii="Times New Roman" w:hAnsi="Times New Roman" w:cs="Times New Roman"/>
          <w:sz w:val="24"/>
          <w:szCs w:val="24"/>
        </w:rPr>
        <w:t>9</w:t>
      </w:r>
      <w:r w:rsidRPr="000C74C7">
        <w:rPr>
          <w:rFonts w:ascii="Times New Roman" w:hAnsi="Times New Roman" w:cs="Times New Roman"/>
          <w:sz w:val="24"/>
          <w:szCs w:val="24"/>
        </w:rPr>
        <w:t xml:space="preserve">] A. Vaswani, N. </w:t>
      </w:r>
      <w:proofErr w:type="spellStart"/>
      <w:r w:rsidRPr="000C74C7">
        <w:rPr>
          <w:rFonts w:ascii="Times New Roman" w:hAnsi="Times New Roman" w:cs="Times New Roman"/>
          <w:sz w:val="24"/>
          <w:szCs w:val="24"/>
        </w:rPr>
        <w:t>Shazeer</w:t>
      </w:r>
      <w:proofErr w:type="spellEnd"/>
      <w:r w:rsidRPr="000C74C7">
        <w:rPr>
          <w:rFonts w:ascii="Times New Roman" w:hAnsi="Times New Roman" w:cs="Times New Roman"/>
          <w:sz w:val="24"/>
          <w:szCs w:val="24"/>
        </w:rPr>
        <w:t xml:space="preserve">, N. Parmar, J. </w:t>
      </w:r>
      <w:proofErr w:type="spellStart"/>
      <w:r w:rsidRPr="000C74C7">
        <w:rPr>
          <w:rFonts w:ascii="Times New Roman" w:hAnsi="Times New Roman" w:cs="Times New Roman"/>
          <w:sz w:val="24"/>
          <w:szCs w:val="24"/>
        </w:rPr>
        <w:t>Uszkoreit</w:t>
      </w:r>
      <w:proofErr w:type="spellEnd"/>
      <w:r w:rsidRPr="000C74C7">
        <w:rPr>
          <w:rFonts w:ascii="Times New Roman" w:hAnsi="Times New Roman" w:cs="Times New Roman"/>
          <w:sz w:val="24"/>
          <w:szCs w:val="24"/>
        </w:rPr>
        <w:t xml:space="preserve">, L. Jones, A. N. Gomez, L. Kaiser, and I. </w:t>
      </w:r>
      <w:proofErr w:type="spellStart"/>
      <w:r w:rsidRPr="000C74C7">
        <w:rPr>
          <w:rFonts w:ascii="Times New Roman" w:hAnsi="Times New Roman" w:cs="Times New Roman"/>
          <w:sz w:val="24"/>
          <w:szCs w:val="24"/>
        </w:rPr>
        <w:t>Polosukhin</w:t>
      </w:r>
      <w:proofErr w:type="spellEnd"/>
      <w:r w:rsidRPr="000C74C7">
        <w:rPr>
          <w:rFonts w:ascii="Times New Roman" w:hAnsi="Times New Roman" w:cs="Times New Roman"/>
          <w:sz w:val="24"/>
          <w:szCs w:val="24"/>
        </w:rPr>
        <w:t>, "Attention is all you need," in Advances in Neural Information Processing Systems, vol. 30, Long Beach, CA, USA, 2017, pp. 5998–6008.</w:t>
      </w:r>
    </w:p>
    <w:p w14:paraId="01843E78" w14:textId="6AF6EA0C"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[1</w:t>
      </w:r>
      <w:r w:rsidR="003F7DE9">
        <w:rPr>
          <w:rFonts w:ascii="Times New Roman" w:hAnsi="Times New Roman" w:cs="Times New Roman"/>
          <w:sz w:val="24"/>
          <w:szCs w:val="24"/>
        </w:rPr>
        <w:t>0</w:t>
      </w:r>
      <w:r w:rsidRPr="000C74C7">
        <w:rPr>
          <w:rFonts w:ascii="Times New Roman" w:hAnsi="Times New Roman" w:cs="Times New Roman"/>
          <w:sz w:val="24"/>
          <w:szCs w:val="24"/>
        </w:rPr>
        <w:t>] H. Wu, J. Xu, J. Wang, and M. Long, "</w:t>
      </w:r>
      <w:proofErr w:type="spellStart"/>
      <w:r w:rsidRPr="000C74C7">
        <w:rPr>
          <w:rFonts w:ascii="Times New Roman" w:hAnsi="Times New Roman" w:cs="Times New Roman"/>
          <w:sz w:val="24"/>
          <w:szCs w:val="24"/>
        </w:rPr>
        <w:t>Autoformer</w:t>
      </w:r>
      <w:proofErr w:type="spellEnd"/>
      <w:r w:rsidRPr="000C74C7">
        <w:rPr>
          <w:rFonts w:ascii="Times New Roman" w:hAnsi="Times New Roman" w:cs="Times New Roman"/>
          <w:sz w:val="24"/>
          <w:szCs w:val="24"/>
        </w:rPr>
        <w:t>: Decomposition transformers with auto-correlation for long-term series forecasting," in Advances in Neural Information Processing Systems, vol. 34, Virtual Event, 2021, pp. 22419–22430.</w:t>
      </w:r>
    </w:p>
    <w:p w14:paraId="14E9E653" w14:textId="7DBDC3D1"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[1</w:t>
      </w:r>
      <w:r w:rsidR="003F7DE9">
        <w:rPr>
          <w:rFonts w:ascii="Times New Roman" w:hAnsi="Times New Roman" w:cs="Times New Roman"/>
          <w:sz w:val="24"/>
          <w:szCs w:val="24"/>
        </w:rPr>
        <w:t>1</w:t>
      </w:r>
      <w:r w:rsidRPr="000C74C7">
        <w:rPr>
          <w:rFonts w:ascii="Times New Roman" w:hAnsi="Times New Roman" w:cs="Times New Roman"/>
          <w:sz w:val="24"/>
          <w:szCs w:val="24"/>
        </w:rPr>
        <w:t xml:space="preserve">] G. Bontempi, S. Ben </w:t>
      </w:r>
      <w:proofErr w:type="spellStart"/>
      <w:r w:rsidRPr="000C74C7">
        <w:rPr>
          <w:rFonts w:ascii="Times New Roman" w:hAnsi="Times New Roman" w:cs="Times New Roman"/>
          <w:sz w:val="24"/>
          <w:szCs w:val="24"/>
        </w:rPr>
        <w:t>Taieb</w:t>
      </w:r>
      <w:proofErr w:type="spellEnd"/>
      <w:r w:rsidRPr="000C74C7">
        <w:rPr>
          <w:rFonts w:ascii="Times New Roman" w:hAnsi="Times New Roman" w:cs="Times New Roman"/>
          <w:sz w:val="24"/>
          <w:szCs w:val="24"/>
        </w:rPr>
        <w:t xml:space="preserve">, and Y.-A. Le Borgne, "Machine learning strategies for time series forecasting," in Business Intelligence: Second European Summer School, M.-A. </w:t>
      </w:r>
      <w:proofErr w:type="spellStart"/>
      <w:r w:rsidRPr="000C74C7">
        <w:rPr>
          <w:rFonts w:ascii="Times New Roman" w:hAnsi="Times New Roman" w:cs="Times New Roman"/>
          <w:sz w:val="24"/>
          <w:szCs w:val="24"/>
        </w:rPr>
        <w:t>Aufaure</w:t>
      </w:r>
      <w:proofErr w:type="spellEnd"/>
      <w:r w:rsidRPr="000C74C7">
        <w:rPr>
          <w:rFonts w:ascii="Times New Roman" w:hAnsi="Times New Roman" w:cs="Times New Roman"/>
          <w:sz w:val="24"/>
          <w:szCs w:val="24"/>
        </w:rPr>
        <w:t xml:space="preserve"> and E. Zimányi, Eds. Berlin, Germany: Springer, 2013, pp. 62–77.</w:t>
      </w:r>
    </w:p>
    <w:p w14:paraId="61B2ED41" w14:textId="5C166249"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[1</w:t>
      </w:r>
      <w:r w:rsidR="003F7DE9">
        <w:rPr>
          <w:rFonts w:ascii="Times New Roman" w:hAnsi="Times New Roman" w:cs="Times New Roman"/>
          <w:sz w:val="24"/>
          <w:szCs w:val="24"/>
        </w:rPr>
        <w:t>2</w:t>
      </w:r>
      <w:r w:rsidRPr="000C74C7">
        <w:rPr>
          <w:rFonts w:ascii="Times New Roman" w:hAnsi="Times New Roman" w:cs="Times New Roman"/>
          <w:sz w:val="24"/>
          <w:szCs w:val="24"/>
        </w:rPr>
        <w:t xml:space="preserve">] K. Bandara, C. </w:t>
      </w:r>
      <w:proofErr w:type="spellStart"/>
      <w:r w:rsidRPr="000C74C7">
        <w:rPr>
          <w:rFonts w:ascii="Times New Roman" w:hAnsi="Times New Roman" w:cs="Times New Roman"/>
          <w:sz w:val="24"/>
          <w:szCs w:val="24"/>
        </w:rPr>
        <w:t>Bergmeir</w:t>
      </w:r>
      <w:proofErr w:type="spellEnd"/>
      <w:r w:rsidRPr="000C74C7">
        <w:rPr>
          <w:rFonts w:ascii="Times New Roman" w:hAnsi="Times New Roman" w:cs="Times New Roman"/>
          <w:sz w:val="24"/>
          <w:szCs w:val="24"/>
        </w:rPr>
        <w:t>, and S. Smyl, "Forecasting across time series databases using recurrent neural networks on groups of similar series: A clustering approach," Expert Systems with Applications, vol. 140, p. 112896, Feb. 2020.</w:t>
      </w:r>
    </w:p>
    <w:p w14:paraId="72373583" w14:textId="6F9ECCF3"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[1</w:t>
      </w:r>
      <w:r w:rsidR="003F7DE9">
        <w:rPr>
          <w:rFonts w:ascii="Times New Roman" w:hAnsi="Times New Roman" w:cs="Times New Roman"/>
          <w:sz w:val="24"/>
          <w:szCs w:val="24"/>
        </w:rPr>
        <w:t>3</w:t>
      </w:r>
      <w:r w:rsidRPr="000C74C7">
        <w:rPr>
          <w:rFonts w:ascii="Times New Roman" w:hAnsi="Times New Roman" w:cs="Times New Roman"/>
          <w:sz w:val="24"/>
          <w:szCs w:val="24"/>
        </w:rPr>
        <w:t>] R. Kimball and M. Ross, The Data Warehouse Toolkit: The Definitive Guide to Dimensional Modeling, 3rd ed. Indianapolis, IN, USA: Wiley, 2013.</w:t>
      </w:r>
    </w:p>
    <w:p w14:paraId="45B37688" w14:textId="63F6C700"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[1</w:t>
      </w:r>
      <w:r w:rsidR="003F7DE9">
        <w:rPr>
          <w:rFonts w:ascii="Times New Roman" w:hAnsi="Times New Roman" w:cs="Times New Roman"/>
          <w:sz w:val="24"/>
          <w:szCs w:val="24"/>
        </w:rPr>
        <w:t>4</w:t>
      </w:r>
      <w:r w:rsidRPr="000C74C7">
        <w:rPr>
          <w:rFonts w:ascii="Times New Roman" w:hAnsi="Times New Roman" w:cs="Times New Roman"/>
          <w:sz w:val="24"/>
          <w:szCs w:val="24"/>
        </w:rPr>
        <w:t xml:space="preserve">] M. </w:t>
      </w:r>
      <w:proofErr w:type="spellStart"/>
      <w:r w:rsidRPr="000C74C7">
        <w:rPr>
          <w:rFonts w:ascii="Times New Roman" w:hAnsi="Times New Roman" w:cs="Times New Roman"/>
          <w:sz w:val="24"/>
          <w:szCs w:val="24"/>
        </w:rPr>
        <w:t>Golfarelli</w:t>
      </w:r>
      <w:proofErr w:type="spellEnd"/>
      <w:r w:rsidRPr="000C74C7">
        <w:rPr>
          <w:rFonts w:ascii="Times New Roman" w:hAnsi="Times New Roman" w:cs="Times New Roman"/>
          <w:sz w:val="24"/>
          <w:szCs w:val="24"/>
        </w:rPr>
        <w:t xml:space="preserve"> and S. Rizzi, Data Warehouse Design: Modern Principles and Methodologies. New York, NY, USA: McGraw-Hill, 2009.</w:t>
      </w:r>
    </w:p>
    <w:p w14:paraId="26A87ACB" w14:textId="0110D75F"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[1</w:t>
      </w:r>
      <w:r w:rsidR="003F7DE9">
        <w:rPr>
          <w:rFonts w:ascii="Times New Roman" w:hAnsi="Times New Roman" w:cs="Times New Roman"/>
          <w:sz w:val="24"/>
          <w:szCs w:val="24"/>
        </w:rPr>
        <w:t>5</w:t>
      </w:r>
      <w:r w:rsidRPr="000C74C7">
        <w:rPr>
          <w:rFonts w:ascii="Times New Roman" w:hAnsi="Times New Roman" w:cs="Times New Roman"/>
          <w:sz w:val="24"/>
          <w:szCs w:val="24"/>
        </w:rPr>
        <w:t>] S. Few, Information Dashboard Design: Displaying Data for At-a-Glance Monitoring, 2nd ed. Burlingame, CA, USA: Analytics Press, 2013.</w:t>
      </w:r>
    </w:p>
    <w:p w14:paraId="7E5AAD5D" w14:textId="21E4F806"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lastRenderedPageBreak/>
        <w:t>[1</w:t>
      </w:r>
      <w:r w:rsidR="003F7DE9">
        <w:rPr>
          <w:rFonts w:ascii="Times New Roman" w:hAnsi="Times New Roman" w:cs="Times New Roman"/>
          <w:sz w:val="24"/>
          <w:szCs w:val="24"/>
        </w:rPr>
        <w:t>6</w:t>
      </w:r>
      <w:r w:rsidRPr="000C74C7">
        <w:rPr>
          <w:rFonts w:ascii="Times New Roman" w:hAnsi="Times New Roman" w:cs="Times New Roman"/>
          <w:sz w:val="24"/>
          <w:szCs w:val="24"/>
        </w:rPr>
        <w:t xml:space="preserve">] A. Popović, R. Hackney, and R. </w:t>
      </w:r>
      <w:proofErr w:type="spellStart"/>
      <w:r w:rsidRPr="000C74C7">
        <w:rPr>
          <w:rFonts w:ascii="Times New Roman" w:hAnsi="Times New Roman" w:cs="Times New Roman"/>
          <w:sz w:val="24"/>
          <w:szCs w:val="24"/>
        </w:rPr>
        <w:t>Tassabehji</w:t>
      </w:r>
      <w:proofErr w:type="spellEnd"/>
      <w:r w:rsidRPr="000C74C7">
        <w:rPr>
          <w:rFonts w:ascii="Times New Roman" w:hAnsi="Times New Roman" w:cs="Times New Roman"/>
          <w:sz w:val="24"/>
          <w:szCs w:val="24"/>
        </w:rPr>
        <w:t>, "Business intelligence and analytics: A systematic literature review," Information Systems Frontiers, vol. 20, no. 6, pp. 1215–1228, Dec. 2018.</w:t>
      </w:r>
    </w:p>
    <w:p w14:paraId="2EA534F8" w14:textId="3D36B9A2"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w:t>
      </w:r>
      <w:r w:rsidR="003F7DE9">
        <w:rPr>
          <w:rFonts w:ascii="Times New Roman" w:hAnsi="Times New Roman" w:cs="Times New Roman"/>
          <w:sz w:val="24"/>
          <w:szCs w:val="24"/>
        </w:rPr>
        <w:t>17</w:t>
      </w:r>
      <w:r w:rsidRPr="000C74C7">
        <w:rPr>
          <w:rFonts w:ascii="Times New Roman" w:hAnsi="Times New Roman" w:cs="Times New Roman"/>
          <w:sz w:val="24"/>
          <w:szCs w:val="24"/>
        </w:rPr>
        <w:t>] M. Zaharia, R. S. Xin, P. Wendell, T. Das, M. Armbrust, A. Dave, X. Meng, J. Rosen, S. Venkataraman, M. J. Franklin, A. Ghodsi, J. Gonzalez, S. Shenker, and I. Stoica, "Apache Spark: A unified engine for big data processing," Communications of the ACM, vol. 59, no. 11, pp. 56–65, Oct. 2016.</w:t>
      </w:r>
    </w:p>
    <w:p w14:paraId="4B0D1753" w14:textId="17CEB58E"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w:t>
      </w:r>
      <w:r w:rsidR="003F7DE9">
        <w:rPr>
          <w:rFonts w:ascii="Times New Roman" w:hAnsi="Times New Roman" w:cs="Times New Roman"/>
          <w:sz w:val="24"/>
          <w:szCs w:val="24"/>
        </w:rPr>
        <w:t>18</w:t>
      </w:r>
      <w:r w:rsidRPr="000C74C7">
        <w:rPr>
          <w:rFonts w:ascii="Times New Roman" w:hAnsi="Times New Roman" w:cs="Times New Roman"/>
          <w:sz w:val="24"/>
          <w:szCs w:val="24"/>
        </w:rPr>
        <w:t xml:space="preserve">] A. Barredo Arrieta, N. Díaz-Rodríguez, J. Del Ser, A. </w:t>
      </w:r>
      <w:proofErr w:type="spellStart"/>
      <w:r w:rsidRPr="000C74C7">
        <w:rPr>
          <w:rFonts w:ascii="Times New Roman" w:hAnsi="Times New Roman" w:cs="Times New Roman"/>
          <w:sz w:val="24"/>
          <w:szCs w:val="24"/>
        </w:rPr>
        <w:t>Bennetot</w:t>
      </w:r>
      <w:proofErr w:type="spellEnd"/>
      <w:r w:rsidRPr="000C74C7">
        <w:rPr>
          <w:rFonts w:ascii="Times New Roman" w:hAnsi="Times New Roman" w:cs="Times New Roman"/>
          <w:sz w:val="24"/>
          <w:szCs w:val="24"/>
        </w:rPr>
        <w:t xml:space="preserve">, S. </w:t>
      </w:r>
      <w:proofErr w:type="spellStart"/>
      <w:r w:rsidRPr="000C74C7">
        <w:rPr>
          <w:rFonts w:ascii="Times New Roman" w:hAnsi="Times New Roman" w:cs="Times New Roman"/>
          <w:sz w:val="24"/>
          <w:szCs w:val="24"/>
        </w:rPr>
        <w:t>Tabik</w:t>
      </w:r>
      <w:proofErr w:type="spellEnd"/>
      <w:r w:rsidRPr="000C74C7">
        <w:rPr>
          <w:rFonts w:ascii="Times New Roman" w:hAnsi="Times New Roman" w:cs="Times New Roman"/>
          <w:sz w:val="24"/>
          <w:szCs w:val="24"/>
        </w:rPr>
        <w:t>, A. Barbado, S. Garcia, S. Gil-Lopez, D. Molina, R. Benjamins, R. Chatila, and F. Herrera, "Explainable artificial intelligence (XAI): Concepts, taxonomies, opportunities and challenges toward responsible AI," Information Fusion, vol. 58, pp. 82–115, Jun. 2020.</w:t>
      </w:r>
    </w:p>
    <w:p w14:paraId="755AABDB" w14:textId="043BFAD4"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w:t>
      </w:r>
      <w:r w:rsidR="003F7DE9">
        <w:rPr>
          <w:rFonts w:ascii="Times New Roman" w:hAnsi="Times New Roman" w:cs="Times New Roman"/>
          <w:sz w:val="24"/>
          <w:szCs w:val="24"/>
        </w:rPr>
        <w:t>19</w:t>
      </w:r>
      <w:r w:rsidRPr="000C74C7">
        <w:rPr>
          <w:rFonts w:ascii="Times New Roman" w:hAnsi="Times New Roman" w:cs="Times New Roman"/>
          <w:sz w:val="24"/>
          <w:szCs w:val="24"/>
        </w:rPr>
        <w:t>] S. M. Lundberg and S.-I. Lee, "A unified approach to interpreting model predictions," in Advances in Neural Information Processing Systems, vol. 30, Long Beach, CA, USA, 2017, pp. 4765–4774.</w:t>
      </w:r>
    </w:p>
    <w:p w14:paraId="6F055473" w14:textId="359B0B9E"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[2</w:t>
      </w:r>
      <w:r w:rsidR="003F7DE9">
        <w:rPr>
          <w:rFonts w:ascii="Times New Roman" w:hAnsi="Times New Roman" w:cs="Times New Roman"/>
          <w:sz w:val="24"/>
          <w:szCs w:val="24"/>
        </w:rPr>
        <w:t>0</w:t>
      </w:r>
      <w:r w:rsidRPr="000C74C7">
        <w:rPr>
          <w:rFonts w:ascii="Times New Roman" w:hAnsi="Times New Roman" w:cs="Times New Roman"/>
          <w:sz w:val="24"/>
          <w:szCs w:val="24"/>
        </w:rPr>
        <w:t>] D. Sculley, G. Holt, D. Golovin, E. Davydov, T. Phillips, D. Ebner, V. Chaudhary, M. Young, J.-F. Crespo, and D. Dennison, "Hidden technical debt in machine learning systems," in Advances in Neural Information Processing Systems, vol. 28, Montreal, QC, Canada, 2015, pp. 2503–2511.</w:t>
      </w:r>
    </w:p>
    <w:p w14:paraId="362608E6" w14:textId="253CEF79"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[2</w:t>
      </w:r>
      <w:r w:rsidR="003F7DE9">
        <w:rPr>
          <w:rFonts w:ascii="Times New Roman" w:hAnsi="Times New Roman" w:cs="Times New Roman"/>
          <w:sz w:val="24"/>
          <w:szCs w:val="24"/>
        </w:rPr>
        <w:t>1</w:t>
      </w:r>
      <w:r w:rsidRPr="000C74C7">
        <w:rPr>
          <w:rFonts w:ascii="Times New Roman" w:hAnsi="Times New Roman" w:cs="Times New Roman"/>
          <w:sz w:val="24"/>
          <w:szCs w:val="24"/>
        </w:rPr>
        <w:t xml:space="preserve">] D. </w:t>
      </w:r>
      <w:proofErr w:type="spellStart"/>
      <w:r w:rsidRPr="000C74C7">
        <w:rPr>
          <w:rFonts w:ascii="Times New Roman" w:hAnsi="Times New Roman" w:cs="Times New Roman"/>
          <w:sz w:val="24"/>
          <w:szCs w:val="24"/>
        </w:rPr>
        <w:t>Kreuzberger</w:t>
      </w:r>
      <w:proofErr w:type="spellEnd"/>
      <w:r w:rsidRPr="000C74C7">
        <w:rPr>
          <w:rFonts w:ascii="Times New Roman" w:hAnsi="Times New Roman" w:cs="Times New Roman"/>
          <w:sz w:val="24"/>
          <w:szCs w:val="24"/>
        </w:rPr>
        <w:t>, N. Kühl, and S. Hirschl, "Machine learning operations (</w:t>
      </w:r>
      <w:proofErr w:type="spellStart"/>
      <w:r w:rsidRPr="000C74C7">
        <w:rPr>
          <w:rFonts w:ascii="Times New Roman" w:hAnsi="Times New Roman" w:cs="Times New Roman"/>
          <w:sz w:val="24"/>
          <w:szCs w:val="24"/>
        </w:rPr>
        <w:t>MLOps</w:t>
      </w:r>
      <w:proofErr w:type="spellEnd"/>
      <w:r w:rsidRPr="000C74C7">
        <w:rPr>
          <w:rFonts w:ascii="Times New Roman" w:hAnsi="Times New Roman" w:cs="Times New Roman"/>
          <w:sz w:val="24"/>
          <w:szCs w:val="24"/>
        </w:rPr>
        <w:t>): Overview, definition, and architecture," IEEE Access, vol. 11, pp. 31866–31879, Mar. 2023.</w:t>
      </w:r>
    </w:p>
    <w:p w14:paraId="0D707366" w14:textId="16FF508C"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[2</w:t>
      </w:r>
      <w:r w:rsidR="003F7DE9">
        <w:rPr>
          <w:rFonts w:ascii="Times New Roman" w:hAnsi="Times New Roman" w:cs="Times New Roman"/>
          <w:sz w:val="24"/>
          <w:szCs w:val="24"/>
        </w:rPr>
        <w:t>2</w:t>
      </w:r>
      <w:r w:rsidRPr="000C74C7">
        <w:rPr>
          <w:rFonts w:ascii="Times New Roman" w:hAnsi="Times New Roman" w:cs="Times New Roman"/>
          <w:sz w:val="24"/>
          <w:szCs w:val="24"/>
        </w:rPr>
        <w:t>] G. S. Dawson, "Marketing mix modeling and machine learning: A hybrid approach," Journal of Marketing Analytics, vol. 8, no. 3, pp. 147–158, Sep. 2020.</w:t>
      </w:r>
    </w:p>
    <w:p w14:paraId="66E1327A" w14:textId="321481E6"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[2</w:t>
      </w:r>
      <w:r w:rsidR="003F7DE9">
        <w:rPr>
          <w:rFonts w:ascii="Times New Roman" w:hAnsi="Times New Roman" w:cs="Times New Roman"/>
          <w:sz w:val="24"/>
          <w:szCs w:val="24"/>
        </w:rPr>
        <w:t>3</w:t>
      </w:r>
      <w:r w:rsidRPr="000C74C7">
        <w:rPr>
          <w:rFonts w:ascii="Times New Roman" w:hAnsi="Times New Roman" w:cs="Times New Roman"/>
          <w:sz w:val="24"/>
          <w:szCs w:val="24"/>
        </w:rPr>
        <w:t xml:space="preserve">] S. </w:t>
      </w:r>
      <w:proofErr w:type="spellStart"/>
      <w:r w:rsidRPr="000C74C7">
        <w:rPr>
          <w:rFonts w:ascii="Times New Roman" w:hAnsi="Times New Roman" w:cs="Times New Roman"/>
          <w:sz w:val="24"/>
          <w:szCs w:val="24"/>
        </w:rPr>
        <w:t>Makridakis</w:t>
      </w:r>
      <w:proofErr w:type="spellEnd"/>
      <w:r w:rsidRPr="000C74C7">
        <w:rPr>
          <w:rFonts w:ascii="Times New Roman" w:hAnsi="Times New Roman" w:cs="Times New Roman"/>
          <w:sz w:val="24"/>
          <w:szCs w:val="24"/>
        </w:rPr>
        <w:t xml:space="preserve">, E. Spiliotis, and V. </w:t>
      </w:r>
      <w:proofErr w:type="spellStart"/>
      <w:r w:rsidRPr="000C74C7">
        <w:rPr>
          <w:rFonts w:ascii="Times New Roman" w:hAnsi="Times New Roman" w:cs="Times New Roman"/>
          <w:sz w:val="24"/>
          <w:szCs w:val="24"/>
        </w:rPr>
        <w:t>Assimakopoulos</w:t>
      </w:r>
      <w:proofErr w:type="spellEnd"/>
      <w:r w:rsidRPr="000C74C7">
        <w:rPr>
          <w:rFonts w:ascii="Times New Roman" w:hAnsi="Times New Roman" w:cs="Times New Roman"/>
          <w:sz w:val="24"/>
          <w:szCs w:val="24"/>
        </w:rPr>
        <w:t>, "Statistical and machine learning forecasting methods: Concerns and ways forward," PLoS ONE, vol. 13, no. 3, p. e0194889, Mar. 2018.</w:t>
      </w:r>
    </w:p>
    <w:p w14:paraId="6F7E20A5" w14:textId="34723855" w:rsidR="000C74C7"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[2</w:t>
      </w:r>
      <w:r w:rsidR="003F7DE9">
        <w:rPr>
          <w:rFonts w:ascii="Times New Roman" w:hAnsi="Times New Roman" w:cs="Times New Roman"/>
          <w:sz w:val="24"/>
          <w:szCs w:val="24"/>
        </w:rPr>
        <w:t>4</w:t>
      </w:r>
      <w:r w:rsidRPr="000C74C7">
        <w:rPr>
          <w:rFonts w:ascii="Times New Roman" w:hAnsi="Times New Roman" w:cs="Times New Roman"/>
          <w:sz w:val="24"/>
          <w:szCs w:val="24"/>
        </w:rPr>
        <w:t>] S. Chopra and P. Meindl, Supply Chain Management: Strategy, Planning, and Operation, 7th ed. London, UK: Pearson, 2019.</w:t>
      </w:r>
    </w:p>
    <w:p w14:paraId="35C12C68" w14:textId="066235AE" w:rsidR="00745448" w:rsidRPr="000C74C7" w:rsidRDefault="000C74C7" w:rsidP="00FF590C">
      <w:pPr>
        <w:spacing w:line="360" w:lineRule="auto"/>
        <w:jc w:val="both"/>
        <w:rPr>
          <w:rFonts w:ascii="Times New Roman" w:hAnsi="Times New Roman" w:cs="Times New Roman"/>
          <w:sz w:val="24"/>
          <w:szCs w:val="24"/>
        </w:rPr>
      </w:pPr>
      <w:r w:rsidRPr="000C74C7">
        <w:rPr>
          <w:rFonts w:ascii="Times New Roman" w:hAnsi="Times New Roman" w:cs="Times New Roman"/>
          <w:sz w:val="24"/>
          <w:szCs w:val="24"/>
        </w:rPr>
        <w:t>[</w:t>
      </w:r>
      <w:r w:rsidR="00DC0324">
        <w:rPr>
          <w:rFonts w:ascii="Times New Roman" w:hAnsi="Times New Roman" w:cs="Times New Roman"/>
          <w:sz w:val="24"/>
          <w:szCs w:val="24"/>
        </w:rPr>
        <w:t>2</w:t>
      </w:r>
      <w:r w:rsidR="003F7DE9">
        <w:rPr>
          <w:rFonts w:ascii="Times New Roman" w:hAnsi="Times New Roman" w:cs="Times New Roman"/>
          <w:sz w:val="24"/>
          <w:szCs w:val="24"/>
        </w:rPr>
        <w:t>5</w:t>
      </w:r>
      <w:r w:rsidRPr="000C74C7">
        <w:rPr>
          <w:rFonts w:ascii="Times New Roman" w:hAnsi="Times New Roman" w:cs="Times New Roman"/>
          <w:sz w:val="24"/>
          <w:szCs w:val="24"/>
        </w:rPr>
        <w:t>] T. Boone, R. Ganeshan, and R. L. Stading, "Forecasting and inventory management for e-commerce: A case study," Journal of Business Logistics, vol. 40, no. 4, pp. 279–291, Dec. 2019.</w:t>
      </w:r>
    </w:p>
    <w:sectPr w:rsidR="00745448" w:rsidRPr="000C7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E55EA"/>
    <w:multiLevelType w:val="hybridMultilevel"/>
    <w:tmpl w:val="602E1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B14AD0"/>
    <w:multiLevelType w:val="multilevel"/>
    <w:tmpl w:val="954C288A"/>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C45"/>
    <w:rsid w:val="000C74C7"/>
    <w:rsid w:val="003937C7"/>
    <w:rsid w:val="003F7DE9"/>
    <w:rsid w:val="005B7FFA"/>
    <w:rsid w:val="0062477F"/>
    <w:rsid w:val="006D2EFC"/>
    <w:rsid w:val="00745448"/>
    <w:rsid w:val="00AC4521"/>
    <w:rsid w:val="00CC6C45"/>
    <w:rsid w:val="00CF659C"/>
    <w:rsid w:val="00DC0324"/>
    <w:rsid w:val="00E22324"/>
    <w:rsid w:val="00E840D9"/>
    <w:rsid w:val="00EF7A77"/>
    <w:rsid w:val="00FF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1421"/>
  <w15:chartTrackingRefBased/>
  <w15:docId w15:val="{DC2EB57C-BA66-45D7-B4A9-B9C76B831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A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A7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D2E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2711</Words>
  <Characters>15458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Shakil Hossain</dc:creator>
  <cp:keywords/>
  <dc:description/>
  <cp:lastModifiedBy>Md. Shakil Hossain</cp:lastModifiedBy>
  <cp:revision>4</cp:revision>
  <dcterms:created xsi:type="dcterms:W3CDTF">2026-03-29T02:41:00Z</dcterms:created>
  <dcterms:modified xsi:type="dcterms:W3CDTF">2026-03-29T03:54:00Z</dcterms:modified>
</cp:coreProperties>
</file>