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8.png" ContentType="image/png"/>
  <Override PartName="/word/media/image12.png" ContentType="image/png"/>
  <Override PartName="/word/media/image3.png" ContentType="image/png"/>
  <Override PartName="/word/media/image19.png" ContentType="image/png"/>
  <Override PartName="/word/media/image14.png" ContentType="image/png"/>
  <Override PartName="/word/media/image5.png" ContentType="image/png"/>
  <Override PartName="/word/media/image15.png" ContentType="image/png"/>
  <Override PartName="/word/media/image6.png" ContentType="image/png"/>
  <Override PartName="/word/media/image10.png" ContentType="image/png"/>
  <Override PartName="/word/media/image1.png" ContentType="image/png"/>
  <Override PartName="/word/media/image16.png" ContentType="image/png"/>
  <Override PartName="/word/media/image7.png" ContentType="image/png"/>
  <Override PartName="/word/media/image2.png" ContentType="image/png"/>
  <Override PartName="/word/media/image11.png" ContentType="image/png"/>
  <Override PartName="/word/media/image17.png" ContentType="image/png"/>
  <Override PartName="/word/media/image8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keepNext w:val="true"/>
        <w:keepLines/>
        <w:spacing w:before="480" w:after="240"/>
        <w:jc w:val="center"/>
        <w:rPr/>
      </w:pPr>
      <w:r>
        <w:rPr/>
        <w:t>Отчёт по лабораторной работе №9</w:t>
      </w:r>
    </w:p>
    <w:p>
      <w:pPr>
        <w:pStyle w:val="Subtitle"/>
        <w:rPr/>
      </w:pPr>
      <w:r>
        <w:rPr/>
        <w:t>Дисциплина: Архитектура компьютера</w:t>
      </w:r>
    </w:p>
    <w:p>
      <w:pPr>
        <w:pStyle w:val="Author"/>
        <w:rPr/>
      </w:pPr>
      <w:r>
        <w:rPr/>
        <w:t>Гасанова Шакира Чингизовна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rPr/>
          </w:pPr>
          <w:r>
            <w:rPr/>
            <w:t>Содержание</w:t>
          </w:r>
        </w:p>
        <w:p>
          <w:pPr>
            <w:pStyle w:val="Normal"/>
            <w:rPr/>
          </w:pPr>
          <w:r>
            <w:fldChar w:fldCharType="begin"/>
          </w:r>
          <w:r>
            <w:rPr/>
            <w:instrText xml:space="preserve"> TOC \z \o "1-3" \u \h</w:instrText>
          </w:r>
          <w:r>
            <w:rPr/>
            <w:fldChar w:fldCharType="separate"/>
          </w:r>
          <w:r>
            <w:rPr/>
            <w:t>1 Цель работы ..........................................................................................………………………………................ 3</w:t>
          </w:r>
        </w:p>
        <w:p>
          <w:pPr>
            <w:pStyle w:val="Normal"/>
            <w:rPr/>
          </w:pPr>
          <w:r>
            <w:rPr/>
            <w:t>2 Задание ........................................................................................................…………………………………......... 4</w:t>
          </w:r>
        </w:p>
        <w:p>
          <w:pPr>
            <w:pStyle w:val="Normal"/>
            <w:rPr/>
          </w:pPr>
          <w:r>
            <w:rPr/>
            <w:t>3 Теоретическое введение ...................................................................…………………………................. 5</w:t>
          </w:r>
        </w:p>
        <w:p>
          <w:pPr>
            <w:pStyle w:val="Normal"/>
            <w:rPr/>
          </w:pPr>
          <w:r>
            <w:rPr/>
            <w:t>4 Выполнение лабораторной работы</w:t>
          </w:r>
        </w:p>
        <w:p>
          <w:pPr>
            <w:pStyle w:val="Normal"/>
            <w:rPr/>
          </w:pPr>
          <w:r>
            <w:rPr/>
            <w:t>4.1 Реализация подпрограмм в NASM..............................................………………….........................6</w:t>
          </w:r>
        </w:p>
        <w:p>
          <w:pPr>
            <w:pStyle w:val="Normal"/>
            <w:rPr/>
          </w:pPr>
          <w:r>
            <w:rPr/>
            <w:t>4.2 Отладка программ с помощью GDB..............................................……………………..................9</w:t>
          </w:r>
        </w:p>
        <w:p>
          <w:pPr>
            <w:pStyle w:val="Normal"/>
            <w:rPr/>
          </w:pPr>
          <w:r>
            <w:rPr/>
            <w:t>4.3 Добавление точек останова...............................................................…………………….................14</w:t>
          </w:r>
        </w:p>
        <w:p>
          <w:pPr>
            <w:pStyle w:val="Normal"/>
            <w:rPr/>
          </w:pPr>
          <w:r>
            <w:rPr/>
            <w:t>4.4 Работа с данными программы в GDB....................................................……………….............16</w:t>
          </w:r>
        </w:p>
        <w:p>
          <w:pPr>
            <w:pStyle w:val="Normal"/>
            <w:rPr/>
          </w:pPr>
          <w:r>
            <w:rPr/>
            <w:t>4.5 Обработка аргументов командной строки в GDB...........................………….................20</w:t>
          </w:r>
        </w:p>
        <w:p>
          <w:pPr>
            <w:pStyle w:val="Normal"/>
            <w:rPr/>
          </w:pPr>
          <w:r>
            <w:rPr/>
            <w:t>4.6 Задания для самостоятельной работы...............................................…………….................22</w:t>
          </w:r>
        </w:p>
        <w:p>
          <w:pPr>
            <w:pStyle w:val="Normal"/>
            <w:rPr/>
          </w:pPr>
          <w:r>
            <w:rPr/>
            <w:t>5 Выводы ........................................................................................................…………………………………........27</w:t>
          </w:r>
        </w:p>
        <w:p>
          <w:pPr>
            <w:pStyle w:val="Normal"/>
            <w:rPr/>
          </w:pPr>
          <w:r>
            <w:rPr/>
            <w:t>6 Источники .....................................................................................................……………………………….......28</w:t>
          </w:r>
          <w:r>
            <w:rPr/>
            <w:fldChar w:fldCharType="end"/>
          </w:r>
        </w:p>
      </w:sdtContent>
    </w:sdt>
    <w:p>
      <w:pPr>
        <w:pStyle w:val="Heading1"/>
        <w:rPr/>
      </w:pPr>
      <w:bookmarkStart w:id="0" w:name="цель-работы"/>
      <w:r>
        <w:rPr>
          <w:rStyle w:val="SectionNumber"/>
        </w:rPr>
        <w:t>1</w:t>
      </w:r>
      <w:r>
        <w:rPr/>
        <w:tab/>
        <w:t>Цель работы</w:t>
      </w:r>
    </w:p>
    <w:p>
      <w:pPr>
        <w:pStyle w:val="FirstParagraph"/>
        <w:rPr/>
      </w:pPr>
      <w:bookmarkStart w:id="1" w:name="цель-работы"/>
      <w:r>
        <w:rPr/>
        <w:t>Приобретение навыков написания программ с использованием подпрограмм. Знакомство с методами отладки при помощи GDB и его основными возможностями.</w:t>
      </w:r>
      <w:bookmarkEnd w:id="1"/>
    </w:p>
    <w:p>
      <w:pPr>
        <w:pStyle w:val="Heading1"/>
        <w:rPr/>
      </w:pPr>
      <w:bookmarkStart w:id="2" w:name="задание"/>
      <w:r>
        <w:rPr>
          <w:rStyle w:val="SectionNumber"/>
        </w:rPr>
        <w:t>2</w:t>
      </w:r>
      <w:r>
        <w:rPr/>
        <w:tab/>
        <w:t>Задание</w:t>
      </w:r>
    </w:p>
    <w:p>
      <w:pPr>
        <w:pStyle w:val="Compact"/>
        <w:numPr>
          <w:ilvl w:val="0"/>
          <w:numId w:val="5"/>
        </w:numPr>
        <w:rPr/>
      </w:pPr>
      <w:r>
        <w:rPr/>
        <w:t>Реализация подпрограмм в NASM</w:t>
      </w:r>
    </w:p>
    <w:p>
      <w:pPr>
        <w:pStyle w:val="Compact"/>
        <w:numPr>
          <w:ilvl w:val="0"/>
          <w:numId w:val="1"/>
        </w:numPr>
        <w:rPr/>
      </w:pPr>
      <w:r>
        <w:rPr/>
        <w:t>Отладка программ с помощью GDB</w:t>
      </w:r>
    </w:p>
    <w:p>
      <w:pPr>
        <w:pStyle w:val="Compact"/>
        <w:numPr>
          <w:ilvl w:val="0"/>
          <w:numId w:val="1"/>
        </w:numPr>
        <w:rPr/>
      </w:pPr>
      <w:bookmarkStart w:id="3" w:name="задание"/>
      <w:r>
        <w:rPr/>
        <w:t>Самостоятельное выполнение заданий по материалам лабораторной работы</w:t>
      </w:r>
      <w:bookmarkEnd w:id="3"/>
    </w:p>
    <w:p>
      <w:pPr>
        <w:pStyle w:val="Heading1"/>
        <w:rPr/>
      </w:pPr>
      <w:bookmarkStart w:id="4" w:name="теоретическое-введение"/>
      <w:r>
        <w:rPr>
          <w:rStyle w:val="SectionNumber"/>
        </w:rPr>
        <w:t>3</w:t>
      </w:r>
      <w:r>
        <w:rPr/>
        <w:tab/>
        <w:t>Теоретическое введение</w:t>
      </w:r>
    </w:p>
    <w:p>
      <w:pPr>
        <w:pStyle w:val="FirstParagraph"/>
        <w:rPr/>
      </w:pPr>
      <w:bookmarkStart w:id="5" w:name="теоретическое-введение"/>
      <w:r>
        <w:rPr/>
        <w:t>Отладка — это процесс поиска и исправления ошибок в программе. В общем случае его можно разделить на четыре этапа: 1. обнаружение ошибки; 2. поиск её местонахождения; 3. определение причины ошибки; 4. исправление ошибки. Можно выделить следующие типы ошибок: 1. синтаксические ошибки — обнаруживаются во время трансляции исходного кода и вызваны нарушением ожидаемой формы или структуры языка; 2. семантические ошибки — являются логическими и приводят к тому, что программа запускается, отрабатывает, но не даёт желаемого результата; 3. ошибки в процессе выполнения — не обнаруживаются при трансляции и вызывают прерывание выполнения программы (например, это ошибки, связанные с переполнением или делением на ноль). Второй этап — поиск местонахождения ошибки. Некоторые ошибки обнаружить довольно трудно. Лучший способ найти место в программе, где находится ошибка, это разбить программу на части и произвести их отладку отдельно друг от друга. Третий этап — выяснение причины ошибки. После определения местонахождения ошибки обычно проще определить причину неправильной работы программы. Последний этап — исправление ошибки. После этого при повторном запуске программы, может обнаружиться следующая ошибка, и процесс отладки начнётся заново.</w:t>
      </w:r>
      <w:bookmarkEnd w:id="5"/>
    </w:p>
    <w:p>
      <w:pPr>
        <w:pStyle w:val="Heading1"/>
        <w:rPr/>
      </w:pPr>
      <w:bookmarkStart w:id="6" w:name="выполнение-лабораторной-работы"/>
      <w:r>
        <w:rPr>
          <w:rStyle w:val="SectionNumber"/>
        </w:rPr>
        <w:t>4</w:t>
      </w:r>
      <w:r>
        <w:rPr/>
        <w:tab/>
        <w:t>Выполнение лабораторной работы</w:t>
      </w:r>
    </w:p>
    <w:p>
      <w:pPr>
        <w:pStyle w:val="FirstParagraph"/>
        <w:rPr/>
      </w:pPr>
      <w:r>
        <w:rPr>
          <w:b/>
          <w:bCs/>
        </w:rPr>
        <w:t>4.1 Реализация подпрограмм в NASM</w:t>
      </w:r>
      <w:r>
        <w:rPr/>
        <w:t xml:space="preserve"> Создаю каталог для выполнения лабораторной работы №9 (рис. 1).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474210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7" w:name="fig%3A001"/>
      <w:bookmarkStart w:id="8" w:name="fig%3A001"/>
      <w:bookmarkEnd w:id="8"/>
    </w:p>
    <w:p>
      <w:pPr>
        <w:pStyle w:val="ImageCaption"/>
        <w:rPr/>
      </w:pPr>
      <w:r>
        <w:rPr/>
        <w:t>Рис. 1: Название рисунка</w:t>
      </w:r>
    </w:p>
    <w:p>
      <w:pPr>
        <w:pStyle w:val="BodyText"/>
        <w:rPr/>
      </w:pPr>
      <w:r>
        <w:rPr/>
        <w:t>Копирую в файл код из листинга, компилирую и запускаю его, данная программа выполняет вычисление функции (рис. 2).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474210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9" w:name="fig%3A002"/>
      <w:bookmarkStart w:id="10" w:name="fig%3A002"/>
      <w:bookmarkEnd w:id="10"/>
    </w:p>
    <w:p>
      <w:pPr>
        <w:pStyle w:val="ImageCaption"/>
        <w:rPr/>
      </w:pPr>
      <w:r>
        <w:rPr/>
        <w:t>Рис. 2: 2</w:t>
      </w:r>
    </w:p>
    <w:p>
      <w:pPr>
        <w:pStyle w:val="BodyText"/>
        <w:rPr/>
      </w:pPr>
      <w:r>
        <w:rPr/>
        <w:t>Изменяю текст программы, добавив в нее подпрограмму, теперь она вычисляет значение функции для выражения f(g(x)) (рис. 3).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474210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1" w:name="fig%3A003"/>
      <w:bookmarkStart w:id="12" w:name="fig%3A003"/>
      <w:bookmarkEnd w:id="12"/>
    </w:p>
    <w:p>
      <w:pPr>
        <w:pStyle w:val="ImageCaption"/>
        <w:rPr/>
      </w:pPr>
      <w:r>
        <w:rPr/>
        <w:t>Рис. 3: 3</w:t>
      </w:r>
    </w:p>
    <w:p>
      <w:pPr>
        <w:pStyle w:val="BodyText"/>
        <w:rPr/>
      </w:pPr>
      <w:r>
        <w:rPr/>
        <w:t>Код программы:</w:t>
      </w:r>
    </w:p>
    <w:p>
      <w:pPr>
        <w:pStyle w:val="BodyText"/>
        <w:rPr/>
      </w:pPr>
      <w:r>
        <w:rPr/>
        <w:t>%include 'in_out.asm'</w:t>
      </w:r>
    </w:p>
    <w:p>
      <w:pPr>
        <w:pStyle w:val="BodyText"/>
        <w:rPr/>
      </w:pPr>
      <w:r>
        <w:rPr/>
        <w:t>SECTION .data</w:t>
      </w:r>
    </w:p>
    <w:p>
      <w:pPr>
        <w:pStyle w:val="BodyText"/>
        <w:rPr/>
      </w:pPr>
      <w:r>
        <w:rPr/>
        <w:t>msg: DB 'Введите x: ',0</w:t>
      </w:r>
    </w:p>
    <w:p>
      <w:pPr>
        <w:pStyle w:val="BodyText"/>
        <w:rPr/>
      </w:pPr>
      <w:r>
        <w:rPr/>
        <w:t>result: DB '2(3x-1)+7=',0</w:t>
      </w:r>
    </w:p>
    <w:p>
      <w:pPr>
        <w:pStyle w:val="BodyText"/>
        <w:rPr/>
      </w:pPr>
      <w:r>
        <w:rPr/>
        <w:t>SECTION .bss</w:t>
      </w:r>
    </w:p>
    <w:p>
      <w:pPr>
        <w:pStyle w:val="BodyText"/>
        <w:rPr/>
      </w:pPr>
      <w:r>
        <w:rPr/>
        <w:t>x: RESB 80</w:t>
      </w:r>
    </w:p>
    <w:p>
      <w:pPr>
        <w:pStyle w:val="BodyText"/>
        <w:rPr/>
      </w:pPr>
      <w:r>
        <w:rPr/>
        <w:t>res: RESB 80</w:t>
      </w:r>
    </w:p>
    <w:p>
      <w:pPr>
        <w:pStyle w:val="BodyText"/>
        <w:rPr/>
      </w:pPr>
      <w:r>
        <w:rPr/>
        <w:t>SECTION .text</w:t>
      </w:r>
    </w:p>
    <w:p>
      <w:pPr>
        <w:pStyle w:val="BodyText"/>
        <w:rPr/>
      </w:pPr>
      <w:r>
        <w:rPr/>
        <w:t>GLOBAL _start</w:t>
      </w:r>
    </w:p>
    <w:p>
      <w:pPr>
        <w:pStyle w:val="BodyText"/>
        <w:rPr/>
      </w:pPr>
      <w:r>
        <w:rPr/>
        <w:t>_start:</w:t>
      </w:r>
    </w:p>
    <w:p>
      <w:pPr>
        <w:pStyle w:val="BodyText"/>
        <w:rPr/>
      </w:pPr>
      <w:r>
        <w:rPr/>
        <w:t>mov eax, msg</w:t>
      </w:r>
    </w:p>
    <w:p>
      <w:pPr>
        <w:pStyle w:val="BodyText"/>
        <w:rPr/>
      </w:pPr>
      <w:r>
        <w:rPr/>
        <w:t>call sprint</w:t>
      </w:r>
    </w:p>
    <w:p>
      <w:pPr>
        <w:pStyle w:val="BodyText"/>
        <w:rPr/>
      </w:pPr>
      <w:r>
        <w:rPr/>
        <w:t>mov ecx, x</w:t>
      </w:r>
    </w:p>
    <w:p>
      <w:pPr>
        <w:pStyle w:val="BodyText"/>
        <w:rPr/>
      </w:pPr>
      <w:r>
        <w:rPr/>
        <w:t>mov edx, 80</w:t>
      </w:r>
    </w:p>
    <w:p>
      <w:pPr>
        <w:pStyle w:val="BodyText"/>
        <w:rPr/>
      </w:pPr>
      <w:r>
        <w:rPr/>
        <w:t>call sread</w:t>
      </w:r>
    </w:p>
    <w:p>
      <w:pPr>
        <w:pStyle w:val="BodyText"/>
        <w:rPr/>
      </w:pPr>
      <w:r>
        <w:rPr/>
        <w:t>mov eax,x</w:t>
      </w:r>
    </w:p>
    <w:p>
      <w:pPr>
        <w:pStyle w:val="BodyText"/>
        <w:rPr/>
      </w:pPr>
      <w:r>
        <w:rPr/>
        <w:t>call atoi</w:t>
      </w:r>
    </w:p>
    <w:p>
      <w:pPr>
        <w:pStyle w:val="BodyText"/>
        <w:rPr/>
      </w:pPr>
      <w:r>
        <w:rPr/>
        <w:t>call _calcul</w:t>
      </w:r>
    </w:p>
    <w:p>
      <w:pPr>
        <w:pStyle w:val="BodyText"/>
        <w:rPr/>
      </w:pPr>
      <w:r>
        <w:rPr/>
        <w:t>mov eax,result</w:t>
      </w:r>
    </w:p>
    <w:p>
      <w:pPr>
        <w:pStyle w:val="BodyText"/>
        <w:rPr/>
      </w:pPr>
      <w:r>
        <w:rPr/>
        <w:t>call sprint</w:t>
      </w:r>
    </w:p>
    <w:p>
      <w:pPr>
        <w:pStyle w:val="BodyText"/>
        <w:rPr/>
      </w:pPr>
      <w:r>
        <w:rPr/>
        <w:t>mov eax,[res]</w:t>
      </w:r>
    </w:p>
    <w:p>
      <w:pPr>
        <w:pStyle w:val="BodyText"/>
        <w:rPr/>
      </w:pPr>
      <w:r>
        <w:rPr/>
        <w:t>call iprintLF</w:t>
      </w:r>
    </w:p>
    <w:p>
      <w:pPr>
        <w:pStyle w:val="BodyText"/>
        <w:rPr/>
      </w:pPr>
      <w:r>
        <w:rPr/>
        <w:t>call quit</w:t>
      </w:r>
    </w:p>
    <w:p>
      <w:pPr>
        <w:pStyle w:val="BodyText"/>
        <w:rPr/>
      </w:pPr>
      <w:r>
        <w:rPr/>
        <w:t>_calcul:</w:t>
      </w:r>
    </w:p>
    <w:p>
      <w:pPr>
        <w:pStyle w:val="BodyText"/>
        <w:rPr/>
      </w:pPr>
      <w:r>
        <w:rPr/>
        <w:t>push eax</w:t>
      </w:r>
    </w:p>
    <w:p>
      <w:pPr>
        <w:pStyle w:val="BodyText"/>
        <w:rPr/>
      </w:pPr>
      <w:r>
        <w:rPr/>
        <w:t>call _subcalcul</w:t>
      </w:r>
    </w:p>
    <w:p>
      <w:pPr>
        <w:pStyle w:val="BodyText"/>
        <w:rPr/>
      </w:pPr>
      <w:r>
        <w:rPr/>
        <w:t>mov ebx,2</w:t>
      </w:r>
    </w:p>
    <w:p>
      <w:pPr>
        <w:pStyle w:val="BodyText"/>
        <w:rPr/>
      </w:pPr>
      <w:r>
        <w:rPr/>
        <w:t>mul ebx</w:t>
      </w:r>
    </w:p>
    <w:p>
      <w:pPr>
        <w:pStyle w:val="BodyText"/>
        <w:rPr/>
      </w:pPr>
      <w:r>
        <w:rPr/>
        <w:t>add eax,7</w:t>
      </w:r>
    </w:p>
    <w:p>
      <w:pPr>
        <w:pStyle w:val="BodyText"/>
        <w:rPr/>
      </w:pPr>
      <w:r>
        <w:rPr/>
        <w:t>mov [res],eax</w:t>
      </w:r>
    </w:p>
    <w:p>
      <w:pPr>
        <w:pStyle w:val="BodyText"/>
        <w:rPr/>
      </w:pPr>
      <w:r>
        <w:rPr/>
        <w:t>pop eax</w:t>
      </w:r>
    </w:p>
    <w:p>
      <w:pPr>
        <w:pStyle w:val="BodyText"/>
        <w:rPr/>
      </w:pPr>
      <w:r>
        <w:rPr/>
        <w:t>ret</w:t>
      </w:r>
    </w:p>
    <w:p>
      <w:pPr>
        <w:pStyle w:val="BodyText"/>
        <w:rPr/>
      </w:pPr>
      <w:r>
        <w:rPr/>
        <w:t>_subcalcul:</w:t>
      </w:r>
    </w:p>
    <w:p>
      <w:pPr>
        <w:pStyle w:val="BodyText"/>
        <w:rPr/>
      </w:pPr>
      <w:r>
        <w:rPr/>
        <w:t>mov ebx, 3</w:t>
      </w:r>
    </w:p>
    <w:p>
      <w:pPr>
        <w:pStyle w:val="BodyText"/>
        <w:rPr/>
      </w:pPr>
      <w:r>
        <w:rPr/>
        <w:t>mul ebx</w:t>
      </w:r>
    </w:p>
    <w:p>
      <w:pPr>
        <w:pStyle w:val="BodyText"/>
        <w:rPr/>
      </w:pPr>
      <w:r>
        <w:rPr/>
        <w:t>sub eax, 1</w:t>
      </w:r>
    </w:p>
    <w:p>
      <w:pPr>
        <w:pStyle w:val="BodyText"/>
        <w:rPr/>
      </w:pPr>
      <w:r>
        <w:rPr/>
        <w:t>ret</w:t>
      </w:r>
    </w:p>
    <w:p>
      <w:pPr>
        <w:pStyle w:val="BodyText"/>
        <w:rPr/>
      </w:pPr>
      <w:r>
        <w:rPr>
          <w:b/>
          <w:bCs/>
        </w:rPr>
        <w:t>4.2 Отладка программ с помощью GDB</w:t>
      </w:r>
      <w:r>
        <w:rPr/>
        <w:t xml:space="preserve"> В созданный файл копирую программу второго листинга, транслирую с созданием файла листинга и отладки, компоную и запускаю в отладчике (рис. 4).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474210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3" w:name="fig%3A004"/>
      <w:bookmarkStart w:id="14" w:name="fig%3A004"/>
      <w:bookmarkEnd w:id="14"/>
    </w:p>
    <w:p>
      <w:pPr>
        <w:pStyle w:val="ImageCaption"/>
        <w:rPr/>
      </w:pPr>
      <w:r>
        <w:rPr/>
        <w:t>Рис. 4: 4</w:t>
      </w:r>
    </w:p>
    <w:p>
      <w:pPr>
        <w:pStyle w:val="BodyText"/>
        <w:rPr/>
      </w:pPr>
      <w:r>
        <w:rPr/>
        <w:t>Запустив программу командой run, я убедилась, что она работает исправно (рис. 5).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474210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5" w:name="fig%3A005"/>
      <w:bookmarkStart w:id="16" w:name="fig%3A005"/>
      <w:bookmarkEnd w:id="16"/>
    </w:p>
    <w:p>
      <w:pPr>
        <w:pStyle w:val="ImageCaption"/>
        <w:rPr/>
      </w:pPr>
      <w:r>
        <w:rPr/>
        <w:t>Рис. 5: 5</w:t>
      </w:r>
    </w:p>
    <w:p>
      <w:pPr>
        <w:pStyle w:val="BodyText"/>
        <w:rPr/>
      </w:pPr>
      <w:r>
        <w:rPr/>
        <w:t>Для более подробного анализа программы добавляю брейкпоинт на метку _start и снова запускаю отладку (рис. 6).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474210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7" w:name="fig%3A006"/>
      <w:bookmarkStart w:id="18" w:name="fig%3A006"/>
      <w:bookmarkEnd w:id="18"/>
    </w:p>
    <w:p>
      <w:pPr>
        <w:pStyle w:val="ImageCaption"/>
        <w:rPr/>
      </w:pPr>
      <w:r>
        <w:rPr/>
        <w:t>Рис. 6: 6</w:t>
      </w:r>
    </w:p>
    <w:p>
      <w:pPr>
        <w:pStyle w:val="BodyText"/>
        <w:rPr/>
      </w:pPr>
      <w:r>
        <w:rPr/>
        <w:t>Когда изучаю дизассемблированный код программы, перевожу команды на синтаксис Intel для процессоров AMD. Основные различия между синтаксисами ATT и Intel следующие: 1. Порядок операндов: - ATT: Сначала указывается источник, затем назначение. - Intel: Сначала указывается назначение, затем источник. 2. Размер операндов: - ATT: Размер операндов явно указывается с помощью суффиксов, например, movl для операций с длинными данными. Непосредственные операнды (литералы) предваряются символом $. - Intel: Размер операндов определяется из контекста (например, ax, eax). Непосредственные операнды записываются без дополнительных символов. 3. Имена регистров: - ATT: Имена регистров начинаются с символа % (например, %eax). - Intel: Имена регистров записываются без префиксов (например, eax). (рис. 7).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506595"/>
            <wp:effectExtent l="0" t="0" r="0" b="0"/>
            <wp:wrapSquare wrapText="largest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9" w:name="fig%3A007"/>
      <w:bookmarkStart w:id="20" w:name="fig%3A007"/>
      <w:bookmarkEnd w:id="20"/>
    </w:p>
    <w:p>
      <w:pPr>
        <w:pStyle w:val="ImageCaption"/>
        <w:rPr/>
      </w:pPr>
      <w:r>
        <w:rPr/>
        <w:t>Рис. 7: 7</w:t>
      </w:r>
    </w:p>
    <w:p>
      <w:pPr>
        <w:pStyle w:val="BodyText"/>
        <w:rPr/>
      </w:pPr>
      <w:r>
        <w:rPr/>
        <w:t>Включаю режим псевдографики для более удобного анализа программы (рис. 8).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506595"/>
            <wp:effectExtent l="0" t="0" r="0" b="0"/>
            <wp:wrapSquare wrapText="largest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1" w:name="fig%3A008"/>
      <w:bookmarkStart w:id="22" w:name="fig%3A008"/>
      <w:bookmarkEnd w:id="22"/>
    </w:p>
    <w:p>
      <w:pPr>
        <w:pStyle w:val="ImageCaption"/>
        <w:rPr/>
      </w:pPr>
      <w:r>
        <w:rPr/>
        <w:t>Рис. 8: 8</w:t>
      </w:r>
    </w:p>
    <w:p>
      <w:pPr>
        <w:pStyle w:val="BodyText"/>
        <w:rPr/>
      </w:pPr>
      <w:r>
        <w:rPr>
          <w:b/>
          <w:bCs/>
        </w:rPr>
        <w:t>4.3 Добавление точек останова</w:t>
      </w:r>
      <w:r>
        <w:rPr/>
        <w:t xml:space="preserve"> Проверяю в режиме псевдографики, что брейкпоинт сохранился (рис. 9).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432935"/>
            <wp:effectExtent l="0" t="0" r="0" b="0"/>
            <wp:wrapSquare wrapText="largest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3" w:name="fig%3A009"/>
      <w:bookmarkStart w:id="24" w:name="fig%3A009"/>
      <w:bookmarkEnd w:id="24"/>
    </w:p>
    <w:p>
      <w:pPr>
        <w:pStyle w:val="ImageCaption"/>
        <w:rPr/>
      </w:pPr>
      <w:r>
        <w:rPr/>
        <w:t>Рис. 9: 9</w:t>
      </w:r>
    </w:p>
    <w:p>
      <w:pPr>
        <w:pStyle w:val="BodyText"/>
        <w:rPr/>
      </w:pPr>
      <w:r>
        <w:rPr/>
        <w:t>Устаналиваю еще одну точку останова по адресу инструкции (рис. 10).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432935"/>
            <wp:effectExtent l="0" t="0" r="0" b="0"/>
            <wp:wrapSquare wrapText="largest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5" w:name="fig%3A010"/>
      <w:bookmarkStart w:id="26" w:name="fig%3A010"/>
      <w:bookmarkEnd w:id="26"/>
    </w:p>
    <w:p>
      <w:pPr>
        <w:pStyle w:val="ImageCaption"/>
        <w:rPr/>
      </w:pPr>
      <w:r>
        <w:rPr/>
        <w:t>Рис. 10: 10</w:t>
      </w:r>
    </w:p>
    <w:p>
      <w:pPr>
        <w:pStyle w:val="BodyText"/>
        <w:rPr/>
      </w:pPr>
      <w:r>
        <w:rPr>
          <w:b/>
          <w:bCs/>
        </w:rPr>
        <w:t>4.4 Работа с данными программы в GDB</w:t>
      </w:r>
      <w:r>
        <w:rPr/>
        <w:t xml:space="preserve"> Просматриваю содержимое регистров командой info registers и смотрю содержимое переменных по имени и по адресу (рис. 11).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293235"/>
            <wp:effectExtent l="0" t="0" r="0" b="0"/>
            <wp:wrapSquare wrapText="largest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7" w:name="fig%3A011"/>
      <w:bookmarkStart w:id="28" w:name="fig%3A011"/>
      <w:bookmarkEnd w:id="28"/>
    </w:p>
    <w:p>
      <w:pPr>
        <w:pStyle w:val="ImageCaption"/>
        <w:rPr/>
      </w:pPr>
      <w:r>
        <w:rPr/>
        <w:t>Рис. 11: 11</w:t>
      </w:r>
    </w:p>
    <w:p>
      <w:pPr>
        <w:pStyle w:val="BodyText"/>
        <w:rPr/>
      </w:pPr>
      <w:r>
        <w:rPr/>
        <w:t>Меняю содержимое переменных по имени и по адресу (рис. 12).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293235"/>
            <wp:effectExtent l="0" t="0" r="0" b="0"/>
            <wp:wrapSquare wrapText="largest"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9" w:name="fig%3A012"/>
      <w:bookmarkStart w:id="30" w:name="fig%3A012"/>
      <w:bookmarkEnd w:id="30"/>
    </w:p>
    <w:p>
      <w:pPr>
        <w:pStyle w:val="ImageCaption"/>
        <w:rPr/>
      </w:pPr>
      <w:r>
        <w:rPr/>
        <w:t>Рис. 12: 12</w:t>
      </w:r>
    </w:p>
    <w:p>
      <w:pPr>
        <w:pStyle w:val="BodyText"/>
        <w:rPr/>
      </w:pPr>
      <w:r>
        <w:rPr/>
        <w:t>Вывожу в различных форматах значение регистра edx (рис. 13).</w:t>
      </w:r>
    </w:p>
    <w:p>
      <w:pPr>
        <w:pStyle w:val="CaptionedFigure"/>
        <w:rPr/>
      </w:pPr>
      <w:bookmarkStart w:id="31" w:name="fig%3A013"/>
      <w:r>
        <w:rPr/>
        <mc:AlternateContent>
          <mc:Choice Requires="wps">
            <w:drawing>
              <wp:inline distT="0" distB="0" distL="0" distR="0">
                <wp:extent cx="3810000" cy="2540000"/>
                <wp:effectExtent l="114935" t="0" r="114935" b="0"/>
                <wp:docPr id="13" name="Picture" descr="Рис. 13: 13"/>
                <a:graphic xmlns:a="http://schemas.openxmlformats.org/drawingml/2006/main">
                  <a:graphicData uri="http://schemas.openxmlformats.org/drawingml/2006/picture"/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Picture" stroked="f" o:allowincell="f" style="position:absolute;margin-left:0pt;margin-top:-200.05pt;width:299.95pt;height:199.95pt;mso-wrap-style:none;v-text-anchor:middle;mso-position-vertical:top" type="_x0000_t75">
                <v:fill o:detectmouseclick="t" on="false"/>
                <v:stroke color="#3465a4" weight="9360" joinstyle="round" endcap="flat"/>
                <w10:wrap type="square"/>
              </v:shape>
            </w:pict>
          </mc:Fallback>
        </mc:AlternateContent>
      </w:r>
      <w:bookmarkEnd w:id="31"/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293235"/>
            <wp:effectExtent l="0" t="0" r="0" b="0"/>
            <wp:wrapSquare wrapText="largest"/>
            <wp:docPr id="14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ImageCaption"/>
        <w:rPr/>
      </w:pPr>
      <w:r>
        <w:rPr/>
        <w:t>Рис. 13: 13</w:t>
      </w:r>
    </w:p>
    <w:p>
      <w:pPr>
        <w:pStyle w:val="BodyText"/>
        <w:rPr/>
      </w:pPr>
      <w:r>
        <w:rPr/>
        <w:t>С помощью команды set меняю содержимое регистра ebx (рис. 14).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293235"/>
            <wp:effectExtent l="0" t="0" r="0" b="0"/>
            <wp:wrapSquare wrapText="largest"/>
            <wp:docPr id="15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2" w:name="fig%3A014"/>
      <w:bookmarkStart w:id="33" w:name="fig%3A014"/>
      <w:bookmarkEnd w:id="33"/>
    </w:p>
    <w:p>
      <w:pPr>
        <w:pStyle w:val="ImageCaption"/>
        <w:rPr/>
      </w:pPr>
      <w:r>
        <w:rPr/>
        <w:t>Рис. 14: 14</w:t>
      </w:r>
    </w:p>
    <w:p>
      <w:pPr>
        <w:pStyle w:val="BodyText"/>
        <w:rPr/>
      </w:pPr>
      <w:r>
        <w:rPr>
          <w:b/>
          <w:bCs/>
        </w:rPr>
        <w:t>4.5 Обработка аргументов командной строки в GDB</w:t>
      </w:r>
      <w:r>
        <w:rPr/>
        <w:t xml:space="preserve"> Копирую программу из предыдущей лабораторной работы в текущий каталог и создаю исполняемый файл с файлом листинга и отладки (рис. 15).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474210"/>
            <wp:effectExtent l="0" t="0" r="0" b="0"/>
            <wp:wrapSquare wrapText="largest"/>
            <wp:docPr id="16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4" w:name="fig%3A015"/>
      <w:bookmarkStart w:id="35" w:name="fig%3A015"/>
      <w:bookmarkEnd w:id="35"/>
    </w:p>
    <w:p>
      <w:pPr>
        <w:pStyle w:val="ImageCaption"/>
        <w:rPr/>
      </w:pPr>
      <w:r>
        <w:rPr/>
        <w:t>Рис. 15: 15</w:t>
      </w:r>
    </w:p>
    <w:p>
      <w:pPr>
        <w:pStyle w:val="BodyText"/>
        <w:rPr/>
      </w:pPr>
      <w:r>
        <w:rPr/>
        <w:t>Запускаю программу с режиме отладки с указанием аргументов, указываю брейкпопнт и запускаю отладку. Проверяю работу стека, изменяя аргумент команды просмотра регистра esp на +4, число обусловлено разрядностью системы, а указатель void занимает как раз 4 байта, ошибка при аргументе +24 означает, что аргументы на вход программы закончились (рис. 16).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993640"/>
            <wp:effectExtent l="0" t="0" r="0" b="0"/>
            <wp:wrapSquare wrapText="largest"/>
            <wp:docPr id="17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93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6" w:name="fig%3A016"/>
      <w:bookmarkStart w:id="37" w:name="fig%3A016"/>
      <w:bookmarkEnd w:id="37"/>
    </w:p>
    <w:p>
      <w:pPr>
        <w:pStyle w:val="ImageCaption"/>
        <w:rPr/>
      </w:pPr>
      <w:r>
        <w:rPr/>
        <w:t>Рис. 16: 16</w:t>
      </w:r>
    </w:p>
    <w:p>
      <w:pPr>
        <w:pStyle w:val="BodyText"/>
        <w:rPr/>
      </w:pPr>
      <w:r>
        <w:rPr>
          <w:b/>
          <w:bCs/>
        </w:rPr>
        <w:t>4.6 Задания для самостоятельной работы</w:t>
      </w:r>
      <w:r>
        <w:rPr/>
        <w:t xml:space="preserve"> 1. Меняю программу самостоятельной части предыдущей лабораторной работы с использованием подпрограммы (рис. </w:t>
      </w:r>
      <w:r>
        <w:rPr>
          <w:b/>
          <w:bCs/>
        </w:rPr>
        <w:t>¿fig:017?</w:t>
      </w:r>
      <w:r>
        <w:rPr/>
        <w:t>).</w:t>
      </w:r>
    </w:p>
    <w:p>
      <w:pPr>
        <w:pStyle w:val="ImageCaption"/>
        <w:rPr/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982845"/>
            <wp:effectExtent l="0" t="0" r="0" b="0"/>
            <wp:wrapSquare wrapText="largest"/>
            <wp:docPr id="18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82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Рис. 1</w:t>
      </w:r>
      <w:r>
        <w:rPr/>
        <w:t>7:</w:t>
      </w:r>
      <w:r>
        <w:rPr/>
        <w:t xml:space="preserve"> 1</w:t>
      </w:r>
      <w:r>
        <w:rPr/>
        <w:t>7</w:t>
      </w:r>
    </w:p>
    <w:p>
      <w:pPr>
        <w:pStyle w:val="BodyText"/>
        <w:rPr/>
      </w:pPr>
      <w:r>
        <w:rPr/>
        <w:t xml:space="preserve">Код программы: </w:t>
      </w:r>
    </w:p>
    <w:p>
      <w:pPr>
        <w:pStyle w:val="BodyText"/>
        <w:rPr/>
      </w:pPr>
      <w:r>
        <w:rPr/>
        <w:t>%include 'in_out.asm'</w:t>
      </w:r>
    </w:p>
    <w:p>
      <w:pPr>
        <w:pStyle w:val="BodyText"/>
        <w:rPr/>
      </w:pPr>
      <w:r>
        <w:rPr/>
        <w:t>SECTION .data</w:t>
      </w:r>
    </w:p>
    <w:p>
      <w:pPr>
        <w:pStyle w:val="BodyText"/>
        <w:rPr/>
      </w:pPr>
      <w:r>
        <w:rPr/>
        <w:t>msg_func db "Функция: f(x) = 10x - 4", 0</w:t>
      </w:r>
    </w:p>
    <w:p>
      <w:pPr>
        <w:pStyle w:val="BodyText"/>
        <w:rPr/>
      </w:pPr>
      <w:r>
        <w:rPr/>
        <w:t>msg_result db "Результат: ", 0</w:t>
      </w:r>
    </w:p>
    <w:p>
      <w:pPr>
        <w:pStyle w:val="BodyText"/>
        <w:rPr/>
      </w:pPr>
      <w:r>
        <w:rPr/>
        <w:t>SECTION .text</w:t>
      </w:r>
    </w:p>
    <w:p>
      <w:pPr>
        <w:pStyle w:val="BodyText"/>
        <w:rPr/>
      </w:pPr>
      <w:r>
        <w:rPr/>
        <w:t>GLOBAL _start</w:t>
      </w:r>
    </w:p>
    <w:p>
      <w:pPr>
        <w:pStyle w:val="BodyText"/>
        <w:rPr/>
      </w:pPr>
      <w:r>
        <w:rPr/>
        <w:t>_start:</w:t>
      </w:r>
    </w:p>
    <w:p>
      <w:pPr>
        <w:pStyle w:val="BodyText"/>
        <w:rPr/>
      </w:pPr>
      <w:r>
        <w:rPr/>
        <w:t>mov eax, msg_func</w:t>
      </w:r>
    </w:p>
    <w:p>
      <w:pPr>
        <w:pStyle w:val="BodyText"/>
        <w:rPr/>
      </w:pPr>
      <w:r>
        <w:rPr/>
        <w:t>call sprintLF</w:t>
      </w:r>
    </w:p>
    <w:p>
      <w:pPr>
        <w:pStyle w:val="BodyText"/>
        <w:rPr/>
      </w:pPr>
      <w:r>
        <w:rPr/>
        <w:t>pop ecx</w:t>
      </w:r>
    </w:p>
    <w:p>
      <w:pPr>
        <w:pStyle w:val="BodyText"/>
        <w:rPr/>
      </w:pPr>
      <w:r>
        <w:rPr/>
        <w:t>pop edx</w:t>
      </w:r>
    </w:p>
    <w:p>
      <w:pPr>
        <w:pStyle w:val="BodyText"/>
        <w:rPr/>
      </w:pPr>
      <w:r>
        <w:rPr/>
        <w:t>sub ecx, 1</w:t>
      </w:r>
    </w:p>
    <w:p>
      <w:pPr>
        <w:pStyle w:val="BodyText"/>
        <w:rPr/>
      </w:pPr>
      <w:r>
        <w:rPr/>
        <w:t>mov esi, 0</w:t>
      </w:r>
    </w:p>
    <w:p>
      <w:pPr>
        <w:pStyle w:val="BodyText"/>
        <w:rPr/>
      </w:pPr>
      <w:r>
        <w:rPr/>
        <w:t>next:</w:t>
      </w:r>
    </w:p>
    <w:p>
      <w:pPr>
        <w:pStyle w:val="BodyText"/>
        <w:rPr/>
      </w:pPr>
      <w:r>
        <w:rPr/>
        <w:t>cmp ecx, 0h</w:t>
      </w:r>
    </w:p>
    <w:p>
      <w:pPr>
        <w:pStyle w:val="BodyText"/>
        <w:rPr/>
      </w:pPr>
      <w:r>
        <w:rPr/>
        <w:t>jz _end</w:t>
      </w:r>
    </w:p>
    <w:p>
      <w:pPr>
        <w:pStyle w:val="BodyText"/>
        <w:rPr/>
      </w:pPr>
      <w:r>
        <w:rPr/>
        <w:t>pop eax</w:t>
      </w:r>
    </w:p>
    <w:p>
      <w:pPr>
        <w:pStyle w:val="BodyText"/>
        <w:rPr/>
      </w:pPr>
      <w:r>
        <w:rPr/>
        <w:t>call atoi</w:t>
      </w:r>
    </w:p>
    <w:p>
      <w:pPr>
        <w:pStyle w:val="BodyText"/>
        <w:rPr/>
      </w:pPr>
      <w:r>
        <w:rPr/>
        <w:t>call _calculate_fx</w:t>
      </w:r>
    </w:p>
    <w:p>
      <w:pPr>
        <w:pStyle w:val="BodyText"/>
        <w:rPr/>
      </w:pPr>
      <w:r>
        <w:rPr/>
        <w:t>add esi, eax</w:t>
      </w:r>
    </w:p>
    <w:p>
      <w:pPr>
        <w:pStyle w:val="BodyText"/>
        <w:rPr/>
      </w:pPr>
      <w:r>
        <w:rPr/>
        <w:t>loop next</w:t>
      </w:r>
    </w:p>
    <w:p>
      <w:pPr>
        <w:pStyle w:val="BodyText"/>
        <w:rPr/>
      </w:pPr>
      <w:r>
        <w:rPr/>
        <w:t>_end:</w:t>
      </w:r>
    </w:p>
    <w:p>
      <w:pPr>
        <w:pStyle w:val="BodyText"/>
        <w:rPr/>
      </w:pPr>
      <w:r>
        <w:rPr/>
        <w:t>mov eax, msg_result</w:t>
      </w:r>
    </w:p>
    <w:p>
      <w:pPr>
        <w:pStyle w:val="BodyText"/>
        <w:rPr/>
      </w:pPr>
      <w:r>
        <w:rPr/>
        <w:t>call sprint</w:t>
      </w:r>
    </w:p>
    <w:p>
      <w:pPr>
        <w:pStyle w:val="BodyText"/>
        <w:rPr/>
      </w:pPr>
      <w:r>
        <w:rPr/>
        <w:t>mov eax, esi</w:t>
      </w:r>
    </w:p>
    <w:p>
      <w:pPr>
        <w:pStyle w:val="BodyText"/>
        <w:rPr/>
      </w:pPr>
      <w:r>
        <w:rPr/>
        <w:t>call iprintLF</w:t>
      </w:r>
    </w:p>
    <w:p>
      <w:pPr>
        <w:pStyle w:val="BodyText"/>
        <w:rPr/>
      </w:pPr>
      <w:r>
        <w:rPr/>
        <w:t>call quit</w:t>
      </w:r>
    </w:p>
    <w:p>
      <w:pPr>
        <w:pStyle w:val="BodyText"/>
        <w:rPr/>
      </w:pPr>
      <w:r>
        <w:rPr/>
        <w:t>_calculate_fx:</w:t>
      </w:r>
    </w:p>
    <w:p>
      <w:pPr>
        <w:pStyle w:val="BodyText"/>
        <w:rPr/>
      </w:pPr>
      <w:r>
        <w:rPr/>
        <w:t>mov ebx, 10</w:t>
      </w:r>
    </w:p>
    <w:p>
      <w:pPr>
        <w:pStyle w:val="BodyText"/>
        <w:rPr/>
      </w:pPr>
      <w:r>
        <w:rPr/>
        <w:t>mul ebx</w:t>
      </w:r>
    </w:p>
    <w:p>
      <w:pPr>
        <w:pStyle w:val="BodyText"/>
        <w:rPr/>
      </w:pPr>
      <w:r>
        <w:rPr/>
        <w:t>sub eax, 4</w:t>
      </w:r>
    </w:p>
    <w:p>
      <w:pPr>
        <w:pStyle w:val="Compact"/>
        <w:numPr>
          <w:ilvl w:val="0"/>
          <w:numId w:val="6"/>
        </w:numPr>
        <w:rPr/>
      </w:pPr>
      <w:r>
        <w:rPr/>
        <w:t>Запускаю программу в режике отладичка и пошагово через si просматриваю изменение значений регистров через i r. При выполнении инструкции mul ecx можно заметить, что результат умножения записывается в регистр eax, но также меняет и edx. Значение регистра ebx не обновляется напрямую, поэтому результат программа неверно подсчитывает функцию (рис. 1</w:t>
      </w:r>
      <w:r>
        <w:rPr/>
        <w:t>8</w:t>
      </w:r>
      <w:r>
        <w:rPr/>
        <w:t>).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021580"/>
            <wp:effectExtent l="0" t="0" r="0" b="0"/>
            <wp:wrapSquare wrapText="largest"/>
            <wp:docPr id="19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21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8" w:name="fig%3A018"/>
      <w:bookmarkStart w:id="39" w:name="fig%3A018"/>
      <w:bookmarkEnd w:id="39"/>
    </w:p>
    <w:p>
      <w:pPr>
        <w:pStyle w:val="ImageCaption"/>
        <w:rPr/>
      </w:pPr>
      <w:r>
        <w:rPr/>
        <w:t>Рис. 1</w:t>
      </w:r>
      <w:r>
        <w:rPr/>
        <w:t>8</w:t>
      </w:r>
      <w:r>
        <w:rPr/>
        <w:t>: 1</w:t>
      </w:r>
      <w:r>
        <w:rPr/>
        <w:t>8</w:t>
      </w:r>
    </w:p>
    <w:p>
      <w:pPr>
        <w:pStyle w:val="BodyText"/>
        <w:rPr/>
      </w:pPr>
      <w:r>
        <w:rPr/>
        <w:t>Исправляю найденную ошибку, теперь программа верно считает значение функции а (рис. 1</w:t>
      </w:r>
      <w:r>
        <w:rPr/>
        <w:t>9</w:t>
      </w:r>
      <w:r>
        <w:rPr/>
        <w:t>).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474210"/>
            <wp:effectExtent l="0" t="0" r="0" b="0"/>
            <wp:wrapSquare wrapText="largest"/>
            <wp:docPr id="20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0" w:name="fig%3A019"/>
      <w:bookmarkStart w:id="41" w:name="fig%3A019"/>
      <w:bookmarkEnd w:id="41"/>
    </w:p>
    <w:p>
      <w:pPr>
        <w:pStyle w:val="ImageCaption"/>
        <w:rPr/>
      </w:pPr>
      <w:r>
        <w:rPr/>
        <w:t>Рис. 1</w:t>
      </w:r>
      <w:r>
        <w:rPr/>
        <w:t>9</w:t>
      </w:r>
      <w:r>
        <w:rPr/>
        <w:t>: 19</w:t>
      </w:r>
    </w:p>
    <w:p>
      <w:pPr>
        <w:pStyle w:val="BodyText"/>
        <w:rPr/>
      </w:pPr>
      <w:r>
        <w:rPr/>
        <w:t>Код изменённой программы:</w:t>
      </w:r>
    </w:p>
    <w:p>
      <w:pPr>
        <w:pStyle w:val="BodyText"/>
        <w:rPr/>
      </w:pPr>
      <w:bookmarkStart w:id="42" w:name="выполнение-лабораторной-работы"/>
      <w:r>
        <w:rPr/>
        <w:t>%include ‘in_out.asm’ SECTION .data div: DB ‘Результат:’, 0 SECTION .text GLOBAL _start _start: mov ebx, 3 mov eax, 2 add ebx, eax mov eax, ebx mov ecx, 4 mul ecx add eax, 5 mov edi, eax mov eax, div call sprint mov eax, edi call iprintLF call quit</w:t>
      </w:r>
      <w:bookmarkEnd w:id="42"/>
    </w:p>
    <w:p>
      <w:pPr>
        <w:pStyle w:val="Heading1"/>
        <w:rPr/>
      </w:pPr>
      <w:bookmarkStart w:id="43" w:name="выводы"/>
      <w:r>
        <w:rPr>
          <w:rStyle w:val="SectionNumber"/>
        </w:rPr>
        <w:t>5</w:t>
      </w:r>
      <w:r>
        <w:rPr/>
        <w:tab/>
        <w:t>Выводы</w:t>
      </w:r>
    </w:p>
    <w:p>
      <w:pPr>
        <w:pStyle w:val="FirstParagraph"/>
        <w:rPr/>
      </w:pPr>
      <w:bookmarkStart w:id="44" w:name="выводы"/>
      <w:r>
        <w:rPr/>
        <w:t>В результате выполнения данной лабораторной работы я приобрела навыки написания программ с использованием подпрограмм, а также познакомилась с методами отладки при поомщи GDB и его основными возможностями.</w:t>
      </w:r>
      <w:bookmarkEnd w:id="44"/>
    </w:p>
    <w:p>
      <w:pPr>
        <w:pStyle w:val="Heading1"/>
        <w:rPr/>
      </w:pPr>
      <w:bookmarkStart w:id="45" w:name="список-литературы"/>
      <w:r>
        <w:rPr/>
        <w:t>Список литературы</w:t>
      </w:r>
    </w:p>
    <w:p>
      <w:pPr>
        <w:pStyle w:val="Compact"/>
        <w:numPr>
          <w:ilvl w:val="0"/>
          <w:numId w:val="7"/>
        </w:numPr>
        <w:spacing w:before="36" w:after="36"/>
        <w:rPr/>
      </w:pPr>
      <w:hyperlink r:id="rId21">
        <w:bookmarkStart w:id="46" w:name="список-литературы"/>
        <w:r>
          <w:rPr>
            <w:rStyle w:val="Hyperlink"/>
          </w:rPr>
          <w:t>Архитектура ЭВМ (rudn.ru)</w:t>
        </w:r>
      </w:hyperlink>
      <w:bookmarkEnd w:id="46"/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2">
    <w:lvl w:ilvl="0">
      <w:start w:val="2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2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2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2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2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2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2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2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2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1"/>
    <w:lvlOverride w:ilvl="0">
      <w:startOverride w:val="1"/>
    </w:lvlOverride>
  </w:num>
  <w:num w:numId="6">
    <w:abstractNumId w:val="2"/>
    <w:lvlOverride w:ilvl="0">
      <w:startOverride w:val="2"/>
    </w:lvlOverride>
  </w:num>
  <w:num w:numId="7">
    <w:abstractNumId w:val="1"/>
    <w:lvlOverride w:ilvl="0">
      <w:startOverride w:val="1"/>
    </w:lvlOverride>
  </w:num>
</w:numbering>
</file>

<file path=word/settings.xml><?xml version="1.0" encoding="utf-8"?>
<w:settings xmlns:w="http://schemas.openxmlformats.org/wordprocessingml/2006/main">
  <w:zoom w:percent="100"/>
  <w:embedSystemFonts/>
  <w:defaultTabStop w:val="720"/>
  <w:autoHyphenation w:val="true"/>
  <w:compat>
    <w:compatSetting w:name="compatibilityMode" w:uri="http://schemas.microsoft.com/office/word" w:val="12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 w:val="24"/>
        <w:szCs w:val="24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bidi w:val="0"/>
      <w:spacing w:before="0" w:after="200"/>
      <w:jc w:val="left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Heading1">
    <w:name w:val="Heading 1"/>
    <w:basedOn w:val="Normal"/>
    <w:next w:val="BodyText"/>
    <w:uiPriority w:val="9"/>
    <w:qFormat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 w:val="true"/>
      <w:keepLines/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 w:val="true"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 w:val="true"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iCs/>
      <w:color w:themeColor="accent1" w:val="4F81BD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 w:val="true"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color w:themeColor="accent1" w:val="4F81BD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 w:val="true"/>
      <w:keepLines/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color w:themeColor="accent1" w:val="4F81BD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 w:val="true"/>
      <w:keepLines/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themeColor="accent1" w:val="4F81BD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 w:val="true"/>
      <w:keepLines/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color w:themeColor="accent1" w:val="4F81BD"/>
      <w:sz w:val="24"/>
      <w:szCs w:val="24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SectionNumber" w:customStyle="1">
    <w:name w:val="Section Number"/>
    <w:basedOn w:val="BodyTextChar"/>
    <w:qFormat/>
    <w:rPr/>
  </w:style>
  <w:style w:type="character" w:styleId="Style5">
    <w:name w:val="Символ сноски"/>
    <w:basedOn w:val="BodyTextChar"/>
    <w:qFormat/>
    <w:rPr>
      <w:vertAlign w:val="superscript"/>
    </w:rPr>
  </w:style>
  <w:style w:type="character" w:styleId="FootnoteReference">
    <w:name w:val="Footnote Reference"/>
    <w:rPr>
      <w:vertAlign w:val="superscript"/>
    </w:rPr>
  </w:style>
  <w:style w:type="character" w:styleId="Hyperlink">
    <w:name w:val="Hyperlink"/>
    <w:basedOn w:val="BodyTextChar"/>
    <w:rPr>
      <w:color w:themeColor="accent1" w:val="4F81BD"/>
    </w:rPr>
  </w:style>
  <w:style w:type="character" w:styleId="KeywordTok" w:customStyle="1">
    <w:name w:val="KeywordTok"/>
    <w:basedOn w:val="VerbatimChar"/>
    <w:qFormat/>
    <w:rPr>
      <w:b/>
      <w:color w:val="007020"/>
    </w:rPr>
  </w:style>
  <w:style w:type="character" w:styleId="DataTypeTok" w:customStyle="1">
    <w:name w:val="DataTypeTok"/>
    <w:basedOn w:val="VerbatimChar"/>
    <w:qFormat/>
    <w:rPr>
      <w:color w:val="902000"/>
    </w:rPr>
  </w:style>
  <w:style w:type="character" w:styleId="DecValTok" w:customStyle="1">
    <w:name w:val="DecValTok"/>
    <w:basedOn w:val="VerbatimChar"/>
    <w:qFormat/>
    <w:rPr>
      <w:color w:val="40A070"/>
    </w:rPr>
  </w:style>
  <w:style w:type="character" w:styleId="BaseNTok" w:customStyle="1">
    <w:name w:val="BaseNTok"/>
    <w:basedOn w:val="VerbatimChar"/>
    <w:qFormat/>
    <w:rPr>
      <w:color w:val="40A070"/>
    </w:rPr>
  </w:style>
  <w:style w:type="character" w:styleId="FloatTok" w:customStyle="1">
    <w:name w:val="FloatTok"/>
    <w:basedOn w:val="VerbatimChar"/>
    <w:qFormat/>
    <w:rPr>
      <w:color w:val="40A070"/>
    </w:rPr>
  </w:style>
  <w:style w:type="character" w:styleId="ConstantTok" w:customStyle="1">
    <w:name w:val="ConstantTok"/>
    <w:basedOn w:val="VerbatimChar"/>
    <w:qFormat/>
    <w:rPr>
      <w:color w:val="880000"/>
    </w:rPr>
  </w:style>
  <w:style w:type="character" w:styleId="CharTok" w:customStyle="1">
    <w:name w:val="CharTok"/>
    <w:basedOn w:val="VerbatimChar"/>
    <w:qFormat/>
    <w:rPr>
      <w:color w:val="4070A0"/>
    </w:rPr>
  </w:style>
  <w:style w:type="character" w:styleId="SpecialCharTok" w:customStyle="1">
    <w:name w:val="SpecialCharTok"/>
    <w:basedOn w:val="VerbatimChar"/>
    <w:qFormat/>
    <w:rPr>
      <w:color w:val="4070A0"/>
    </w:rPr>
  </w:style>
  <w:style w:type="character" w:styleId="StringTok" w:customStyle="1">
    <w:name w:val="StringTok"/>
    <w:basedOn w:val="VerbatimChar"/>
    <w:qFormat/>
    <w:rPr>
      <w:color w:val="4070A0"/>
    </w:rPr>
  </w:style>
  <w:style w:type="character" w:styleId="VerbatimStringTok" w:customStyle="1">
    <w:name w:val="VerbatimStringTok"/>
    <w:basedOn w:val="VerbatimChar"/>
    <w:qFormat/>
    <w:rPr>
      <w:color w:val="4070A0"/>
    </w:rPr>
  </w:style>
  <w:style w:type="character" w:styleId="SpecialStringTok" w:customStyle="1">
    <w:name w:val="SpecialStringTok"/>
    <w:basedOn w:val="VerbatimChar"/>
    <w:qFormat/>
    <w:rPr>
      <w:color w:val="BB6688"/>
    </w:rPr>
  </w:style>
  <w:style w:type="character" w:styleId="ImportTok" w:customStyle="1">
    <w:name w:val="ImportTok"/>
    <w:basedOn w:val="VerbatimChar"/>
    <w:qFormat/>
    <w:rPr/>
  </w:style>
  <w:style w:type="character" w:styleId="CommentTok" w:customStyle="1">
    <w:name w:val="CommentTok"/>
    <w:basedOn w:val="VerbatimChar"/>
    <w:qFormat/>
    <w:rPr>
      <w:i/>
      <w:color w:val="60A0B0"/>
    </w:rPr>
  </w:style>
  <w:style w:type="character" w:styleId="DocumentationTok" w:customStyle="1">
    <w:name w:val="DocumentationTok"/>
    <w:basedOn w:val="VerbatimChar"/>
    <w:qFormat/>
    <w:rPr>
      <w:i/>
      <w:color w:val="BA2121"/>
    </w:rPr>
  </w:style>
  <w:style w:type="character" w:styleId="AnnotationTok" w:customStyle="1">
    <w:name w:val="AnnotationTok"/>
    <w:basedOn w:val="VerbatimChar"/>
    <w:qFormat/>
    <w:rPr>
      <w:b/>
      <w:i/>
      <w:color w:val="60A0B0"/>
    </w:rPr>
  </w:style>
  <w:style w:type="character" w:styleId="CommentVarTok" w:customStyle="1">
    <w:name w:val="CommentVarTok"/>
    <w:basedOn w:val="VerbatimChar"/>
    <w:qFormat/>
    <w:rPr>
      <w:b/>
      <w:i/>
      <w:color w:val="60A0B0"/>
    </w:rPr>
  </w:style>
  <w:style w:type="character" w:styleId="OtherTok" w:customStyle="1">
    <w:name w:val="OtherTok"/>
    <w:basedOn w:val="VerbatimChar"/>
    <w:qFormat/>
    <w:rPr>
      <w:color w:val="007020"/>
    </w:rPr>
  </w:style>
  <w:style w:type="character" w:styleId="FunctionTok" w:customStyle="1">
    <w:name w:val="FunctionTok"/>
    <w:basedOn w:val="VerbatimChar"/>
    <w:qFormat/>
    <w:rPr>
      <w:color w:val="06287E"/>
    </w:rPr>
  </w:style>
  <w:style w:type="character" w:styleId="VariableTok" w:customStyle="1">
    <w:name w:val="VariableTok"/>
    <w:basedOn w:val="VerbatimChar"/>
    <w:qFormat/>
    <w:rPr>
      <w:color w:val="19177C"/>
    </w:rPr>
  </w:style>
  <w:style w:type="character" w:styleId="ControlFlowTok" w:customStyle="1">
    <w:name w:val="ControlFlowTok"/>
    <w:basedOn w:val="VerbatimChar"/>
    <w:qFormat/>
    <w:rPr>
      <w:b/>
      <w:color w:val="007020"/>
    </w:rPr>
  </w:style>
  <w:style w:type="character" w:styleId="OperatorTok" w:customStyle="1">
    <w:name w:val="OperatorTok"/>
    <w:basedOn w:val="VerbatimChar"/>
    <w:qFormat/>
    <w:rPr>
      <w:color w:val="666666"/>
    </w:rPr>
  </w:style>
  <w:style w:type="character" w:styleId="BuiltInTok" w:customStyle="1">
    <w:name w:val="BuiltInTok"/>
    <w:basedOn w:val="VerbatimChar"/>
    <w:qFormat/>
    <w:rPr/>
  </w:style>
  <w:style w:type="character" w:styleId="ExtensionTok" w:customStyle="1">
    <w:name w:val="ExtensionTok"/>
    <w:basedOn w:val="VerbatimChar"/>
    <w:qFormat/>
    <w:rPr/>
  </w:style>
  <w:style w:type="character" w:styleId="PreprocessorTok" w:customStyle="1">
    <w:name w:val="PreprocessorTok"/>
    <w:basedOn w:val="VerbatimChar"/>
    <w:qFormat/>
    <w:rPr>
      <w:color w:val="BC7A00"/>
    </w:rPr>
  </w:style>
  <w:style w:type="character" w:styleId="AttributeTok" w:customStyle="1">
    <w:name w:val="AttributeTok"/>
    <w:basedOn w:val="VerbatimChar"/>
    <w:qFormat/>
    <w:rPr>
      <w:color w:val="7D9029"/>
    </w:rPr>
  </w:style>
  <w:style w:type="character" w:styleId="RegionMarkerTok" w:customStyle="1">
    <w:name w:val="RegionMarkerTok"/>
    <w:basedOn w:val="VerbatimChar"/>
    <w:qFormat/>
    <w:rPr/>
  </w:style>
  <w:style w:type="character" w:styleId="InformationTok" w:customStyle="1">
    <w:name w:val="InformationTok"/>
    <w:basedOn w:val="VerbatimChar"/>
    <w:qFormat/>
    <w:rPr>
      <w:b/>
      <w:i/>
      <w:color w:val="60A0B0"/>
    </w:rPr>
  </w:style>
  <w:style w:type="character" w:styleId="WarningTok" w:customStyle="1">
    <w:name w:val="WarningTok"/>
    <w:basedOn w:val="VerbatimChar"/>
    <w:qFormat/>
    <w:rPr>
      <w:b/>
      <w:i/>
      <w:color w:val="60A0B0"/>
    </w:rPr>
  </w:style>
  <w:style w:type="character" w:styleId="AlertTok" w:customStyle="1">
    <w:name w:val="AlertTok"/>
    <w:basedOn w:val="VerbatimChar"/>
    <w:qFormat/>
    <w:rPr>
      <w:b/>
      <w:color w:val="FF0000"/>
    </w:rPr>
  </w:style>
  <w:style w:type="character" w:styleId="ErrorTok" w:customStyle="1">
    <w:name w:val="ErrorTok"/>
    <w:basedOn w:val="VerbatimChar"/>
    <w:qFormat/>
    <w:rPr>
      <w:b/>
      <w:color w:val="FF0000"/>
    </w:rPr>
  </w:style>
  <w:style w:type="character" w:styleId="NormalTok" w:customStyle="1">
    <w:name w:val="NormalTok"/>
    <w:basedOn w:val="VerbatimChar"/>
    <w:qFormat/>
    <w:rPr/>
  </w:style>
  <w:style w:type="paragraph" w:styleId="Style6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link w:val="BodyTextChar"/>
    <w:qFormat/>
    <w:pPr>
      <w:spacing w:before="180" w:after="18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link w:val="BodyTextChar"/>
    <w:qFormat/>
    <w:pPr>
      <w:spacing w:before="0" w:after="120"/>
    </w:pPr>
    <w:rPr>
      <w:i/>
    </w:rPr>
  </w:style>
  <w:style w:type="paragraph" w:styleId="Style7">
    <w:name w:val="Указатель"/>
    <w:basedOn w:val="Normal"/>
    <w:qFormat/>
    <w:pPr>
      <w:suppressLineNumbers/>
    </w:pPr>
    <w:rPr>
      <w:rFonts w:cs="Noto Sans Devanagari"/>
    </w:rPr>
  </w:style>
  <w:style w:type="paragraph" w:styleId="FirstParagraph" w:customStyle="1">
    <w:name w:val="First Paragraph"/>
    <w:basedOn w:val="BodyText"/>
    <w:next w:val="BodyText"/>
    <w:qFormat/>
    <w:pPr/>
    <w:rPr/>
  </w:style>
  <w:style w:type="paragraph" w:styleId="Compact" w:customStyle="1">
    <w:name w:val="Compact"/>
    <w:basedOn w:val="BodyText"/>
    <w:qFormat/>
    <w:pPr>
      <w:spacing w:before="36" w:after="36"/>
    </w:pPr>
    <w:rPr/>
  </w:style>
  <w:style w:type="paragraph" w:styleId="Title">
    <w:name w:val="Title"/>
    <w:basedOn w:val="Normal"/>
    <w:next w:val="BodyText"/>
    <w:qFormat/>
    <w:pPr>
      <w:keepNext w:val="true"/>
      <w:keepLines/>
      <w:spacing w:before="480" w:after="240"/>
      <w:jc w:val="center"/>
    </w:pPr>
    <w:rPr>
      <w:rFonts w:ascii="Calibri" w:hAnsi="Calibri" w:eastAsia="" w:cs=""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type="paragraph" w:styleId="Subtitle">
    <w:name w:val="Subtitle"/>
    <w:basedOn w:val="Title"/>
    <w:next w:val="BodyText"/>
    <w:qFormat/>
    <w:pPr>
      <w:keepNext w:val="true"/>
      <w:keepLines/>
      <w:spacing w:before="240" w:after="240"/>
      <w:jc w:val="center"/>
    </w:pPr>
    <w:rPr>
      <w:sz w:val="30"/>
      <w:szCs w:val="30"/>
    </w:rPr>
  </w:style>
  <w:style w:type="paragraph" w:styleId="Author" w:customStyle="1">
    <w:name w:val="Author"/>
    <w:next w:val="BodyText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Date">
    <w:name w:val="Date"/>
    <w:next w:val="BodyText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Abstract" w:customStyle="1">
    <w:name w:val="Abstract"/>
    <w:basedOn w:val="Normal"/>
    <w:next w:val="BodyText"/>
    <w:qFormat/>
    <w:pPr>
      <w:keepNext w:val="true"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hanging="0" w:left="480" w:right="480"/>
    </w:pPr>
    <w:rPr/>
  </w:style>
  <w:style w:type="paragraph" w:styleId="FootnoteText">
    <w:name w:val="Footnote Text"/>
    <w:basedOn w:val="Normal"/>
    <w:uiPriority w:val="9"/>
    <w:unhideWhenUsed/>
    <w:qFormat/>
    <w:pPr/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Caption"/>
    <w:qFormat/>
    <w:pPr>
      <w:keepNext w:val="true"/>
    </w:pPr>
    <w:rPr/>
  </w:style>
  <w:style w:type="paragraph" w:styleId="ImageCaption" w:customStyle="1">
    <w:name w:val="Image Caption"/>
    <w:basedOn w:val="Caption"/>
    <w:qFormat/>
    <w:pPr/>
    <w:rPr/>
  </w:style>
  <w:style w:type="paragraph" w:styleId="Style8" w:customStyle="1">
    <w:name w:val="Фигура"/>
    <w:basedOn w:val="Normal"/>
    <w:qFormat/>
    <w:pPr/>
    <w:rPr/>
  </w:style>
  <w:style w:type="paragraph" w:styleId="CaptionedFigure" w:customStyle="1">
    <w:name w:val="Captioned Figure"/>
    <w:basedOn w:val="Style8"/>
    <w:qFormat/>
    <w:pPr>
      <w:keepNext w:val="true"/>
    </w:pPr>
    <w:rPr/>
  </w:style>
  <w:style w:type="paragraph" w:styleId="IndexHeading">
    <w:name w:val="Index Heading"/>
    <w:basedOn w:val="Style6"/>
    <w:pPr/>
    <w:rPr/>
  </w:style>
  <w:style w:type="paragraph" w:styleId="TOCHeading">
    <w:name w:val="TOC Heading"/>
    <w:basedOn w:val="Heading1"/>
    <w:next w:val="BodyText"/>
    <w:uiPriority w:val="39"/>
    <w:unhideWhenUsed/>
    <w:qFormat/>
    <w:pPr>
      <w:spacing w:lineRule="auto" w:line="259" w:before="240" w:after="0"/>
      <w:outlineLvl w:val="9"/>
    </w:pPr>
    <w:rPr>
      <w:rFonts w:ascii="Calibri" w:hAnsi="Calibri" w:eastAsia="" w:cs="" w:asciiTheme="majorHAnsi" w:cstheme="majorBidi" w:eastAsiaTheme="majorEastAsia" w:hAnsiTheme="majorHAnsi"/>
      <w:b w:val="false"/>
      <w:bCs w:val="false"/>
      <w:color w:themeColor="accent1" w:themeShade="bf" w:val="365F91"/>
    </w:rPr>
  </w:style>
  <w:style w:type="paragraph" w:styleId="SourceCode" w:customStyle="1">
    <w:name w:val="Source Code"/>
    <w:basedOn w:val="Normal"/>
    <w:link w:val="VerbatimChar"/>
    <w:qFormat/>
    <w:pPr/>
    <w:rPr/>
  </w:style>
  <w:style w:type="table" w:default="1" w:styleId="Table">
    <w:name w:val="Table"/>
    <w:basedOn w:val="TableNormal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/>
        </w:tcBorders>
        <w:vAlign w:val="bottom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hyperlink" Target="https://esystem.rudn.ru/" TargetMode="External"/><Relationship Id="rId22" Type="http://schemas.openxmlformats.org/officeDocument/2006/relationships/numbering" Target="numbering.xml"/><Relationship Id="rId23" Type="http://schemas.openxmlformats.org/officeDocument/2006/relationships/fontTable" Target="fontTable.xml"/><Relationship Id="rId24" Type="http://schemas.openxmlformats.org/officeDocument/2006/relationships/settings" Target="settings.xml"/><Relationship Id="rId2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Application>LibreOffice/24.2.7.2$Linux_X86_64 LibreOffice_project/420$Build-2</Application>
  <AppVersion>15.0000</AppVersion>
  <Pages>24</Pages>
  <Words>1035</Words>
  <Characters>6918</Characters>
  <CharactersWithSpaces>7817</CharactersWithSpaces>
  <Paragraphs>140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2024-12-07T21:14:35Z</dcterms:created>
  <dc:creator>Гасанова Шакира Чингизовна</dc:creator>
  <dc:description/>
  <dc:language>ru-RU</dc:language>
  <cp:lastModifiedBy/>
  <dcterms:modified xsi:type="dcterms:W3CDTF">2024-12-08T00:22:00Z</dcterms:modified>
  <cp:revision>1</cp:revision>
  <dc:subject/>
  <dc:title>Отчёт по лабораторной работе №9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IBM Plex Serif</vt:lpwstr>
  </property>
  <property fmtid="{D5CDD505-2E9C-101B-9397-08002B2CF9AE}" pid="52" name="mainfontoptions">
    <vt:lpwstr>Ligatures=Common,Ligatures=TeX,Scale=0.94</vt:lpwstr>
  </property>
  <property fmtid="{D5CDD505-2E9C-101B-9397-08002B2CF9AE}" pid="53" name="mathfont">
    <vt:lpwstr>STIX Two Math</vt:lpwstr>
  </property>
  <property fmtid="{D5CDD505-2E9C-101B-9397-08002B2CF9AE}" pid="54" name="mathfontoptions">
    <vt:lpwstr/>
  </property>
  <property fmtid="{D5CDD505-2E9C-101B-9397-08002B2CF9AE}" pid="55" name="monofont">
    <vt:lpwstr>IBM Plex Mono</vt:lpwstr>
  </property>
  <property fmtid="{D5CDD505-2E9C-101B-9397-08002B2CF9AE}" pid="56" name="monofontoptions">
    <vt:lpwstr>Scale=MatchLowercase,Scale=0.94,FakeStretch=0.9</vt:lpwstr>
  </property>
  <property fmtid="{D5CDD505-2E9C-101B-9397-08002B2CF9AE}" pid="57" name="nameInLink">
    <vt:lpwstr>False</vt:lpwstr>
  </property>
  <property fmtid="{D5CDD505-2E9C-101B-9397-08002B2CF9AE}" pid="58" name="numberSections">
    <vt:lpwstr>False</vt:lpwstr>
  </property>
  <property fmtid="{D5CDD505-2E9C-101B-9397-08002B2CF9AE}" pid="59" name="pairDelim">
    <vt:lpwstr>, </vt:lpwstr>
  </property>
  <property fmtid="{D5CDD505-2E9C-101B-9397-08002B2CF9AE}" pid="60" name="papersize">
    <vt:lpwstr>a4</vt:lpwstr>
  </property>
  <property fmtid="{D5CDD505-2E9C-101B-9397-08002B2CF9AE}" pid="61" name="polyglossia-lang">
    <vt:lpwstr/>
  </property>
  <property fmtid="{D5CDD505-2E9C-101B-9397-08002B2CF9AE}" pid="62" name="polyglossia-otherlangs">
    <vt:lpwstr/>
  </property>
  <property fmtid="{D5CDD505-2E9C-101B-9397-08002B2CF9AE}" pid="63" name="rangeDelim">
    <vt:lpwstr>-</vt:lpwstr>
  </property>
  <property fmtid="{D5CDD505-2E9C-101B-9397-08002B2CF9AE}" pid="64" name="refDelim">
    <vt:lpwstr>, </vt:lpwstr>
  </property>
  <property fmtid="{D5CDD505-2E9C-101B-9397-08002B2CF9AE}" pid="65" name="refIndexTemplate">
    <vt:lpwstr>isuf</vt:lpwstr>
  </property>
  <property fmtid="{D5CDD505-2E9C-101B-9397-08002B2CF9AE}" pid="66" name="romanfont">
    <vt:lpwstr>IBM Plex Serif</vt:lpwstr>
  </property>
  <property fmtid="{D5CDD505-2E9C-101B-9397-08002B2CF9AE}" pid="67" name="romanfontoptions">
    <vt:lpwstr>Ligatures=Common,Ligatures=TeX,Scale=0.94</vt:lpwstr>
  </property>
  <property fmtid="{D5CDD505-2E9C-101B-9397-08002B2CF9AE}" pid="68" name="sansfont">
    <vt:lpwstr>IBM Plex Sans</vt:lpwstr>
  </property>
  <property fmtid="{D5CDD505-2E9C-101B-9397-08002B2CF9AE}" pid="69" name="sansfontoptions">
    <vt:lpwstr>Ligatures=Common,Ligatures=TeX,Scale=MatchLowercase,Scale=0.94</vt:lpwstr>
  </property>
  <property fmtid="{D5CDD505-2E9C-101B-9397-08002B2CF9AE}" pid="70" name="secHeaderDelim">
    <vt:lpwstr> </vt:lpwstr>
  </property>
  <property fmtid="{D5CDD505-2E9C-101B-9397-08002B2CF9AE}" pid="71" name="secHeaderTemplate">
    <vt:lpwstr>isecHeaderDelim[n]t</vt:lpwstr>
  </property>
  <property fmtid="{D5CDD505-2E9C-101B-9397-08002B2CF9AE}" pid="72" name="secLabels">
    <vt:lpwstr>arabic</vt:lpwstr>
  </property>
  <property fmtid="{D5CDD505-2E9C-101B-9397-08002B2CF9AE}" pid="73" name="secPrefix">
    <vt:lpwstr/>
  </property>
  <property fmtid="{D5CDD505-2E9C-101B-9397-08002B2CF9AE}" pid="74" name="secPrefixTemplate">
    <vt:lpwstr>p i</vt:lpwstr>
  </property>
  <property fmtid="{D5CDD505-2E9C-101B-9397-08002B2CF9AE}" pid="75" name="sectionsDepth">
    <vt:lpwstr>0</vt:lpwstr>
  </property>
  <property fmtid="{D5CDD505-2E9C-101B-9397-08002B2CF9AE}" pid="76" name="subfigGrid">
    <vt:lpwstr>False</vt:lpwstr>
  </property>
  <property fmtid="{D5CDD505-2E9C-101B-9397-08002B2CF9AE}" pid="77" name="subfigLabels">
    <vt:lpwstr>alpha a</vt:lpwstr>
  </property>
  <property fmtid="{D5CDD505-2E9C-101B-9397-08002B2CF9AE}" pid="78" name="subfigureChildTemplate">
    <vt:lpwstr>i</vt:lpwstr>
  </property>
  <property fmtid="{D5CDD505-2E9C-101B-9397-08002B2CF9AE}" pid="79" name="subfigureRefIndexTemplate">
    <vt:lpwstr>isuf (s)</vt:lpwstr>
  </property>
  <property fmtid="{D5CDD505-2E9C-101B-9397-08002B2CF9AE}" pid="80" name="subfigureTemplate">
    <vt:lpwstr>figureTitle ititleDelim t. ccs</vt:lpwstr>
  </property>
  <property fmtid="{D5CDD505-2E9C-101B-9397-08002B2CF9AE}" pid="81" name="subtitle">
    <vt:lpwstr>Дисциплина: Архитектура компьютера</vt:lpwstr>
  </property>
  <property fmtid="{D5CDD505-2E9C-101B-9397-08002B2CF9AE}" pid="82" name="tableEqns">
    <vt:lpwstr>False</vt:lpwstr>
  </property>
  <property fmtid="{D5CDD505-2E9C-101B-9397-08002B2CF9AE}" pid="83" name="tableTemplate">
    <vt:lpwstr>tableTitle ititleDelim t</vt:lpwstr>
  </property>
  <property fmtid="{D5CDD505-2E9C-101B-9397-08002B2CF9AE}" pid="84" name="tableTitle">
    <vt:lpwstr>Таблица</vt:lpwstr>
  </property>
  <property fmtid="{D5CDD505-2E9C-101B-9397-08002B2CF9AE}" pid="85" name="tblLabels">
    <vt:lpwstr>arabic</vt:lpwstr>
  </property>
  <property fmtid="{D5CDD505-2E9C-101B-9397-08002B2CF9AE}" pid="86" name="tblPrefix">
    <vt:lpwstr/>
  </property>
  <property fmtid="{D5CDD505-2E9C-101B-9397-08002B2CF9AE}" pid="87" name="tblPrefixTemplate">
    <vt:lpwstr>p i</vt:lpwstr>
  </property>
  <property fmtid="{D5CDD505-2E9C-101B-9397-08002B2CF9AE}" pid="88" name="titleDelim">
    <vt:lpwstr>:</vt:lpwstr>
  </property>
  <property fmtid="{D5CDD505-2E9C-101B-9397-08002B2CF9AE}" pid="89" name="toc">
    <vt:lpwstr>True</vt:lpwstr>
  </property>
  <property fmtid="{D5CDD505-2E9C-101B-9397-08002B2CF9AE}" pid="90" name="toc-depth">
    <vt:lpwstr>2</vt:lpwstr>
  </property>
  <property fmtid="{D5CDD505-2E9C-101B-9397-08002B2CF9AE}" pid="91" name="toc-title">
    <vt:lpwstr>Содержание</vt:lpwstr>
  </property>
</Properties>
</file>