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Внешний курс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Блок </w:t>
      </w:r>
      <w:r>
        <w:rPr>
          <w:rStyle w:val="Section Number"/>
          <w:rtl w:val="0"/>
          <w:lang w:val="ru-RU"/>
        </w:rPr>
        <w:t xml:space="preserve">2: </w:t>
      </w:r>
      <w:r>
        <w:rPr>
          <w:rStyle w:val="Section Number"/>
          <w:rtl w:val="0"/>
          <w:lang w:val="ru-RU"/>
        </w:rPr>
        <w:t>Защита ПК</w:t>
      </w:r>
      <w:r>
        <w:rPr>
          <w:rStyle w:val="Section Number"/>
          <w:rtl w:val="0"/>
          <w:lang w:val="ru-RU"/>
        </w:rPr>
        <w:t>/</w:t>
      </w:r>
      <w:r>
        <w:rPr>
          <w:rStyle w:val="Section Number"/>
          <w:rtl w:val="0"/>
          <w:lang w:val="ru-RU"/>
        </w:rPr>
        <w:t>Телефона</w:t>
      </w:r>
    </w:p>
    <w:p>
      <w:pPr>
        <w:pStyle w:val="Subtitle"/>
      </w:pPr>
      <w:r>
        <w:rPr>
          <w:rStyle w:val="Section Number"/>
          <w:rtl w:val="0"/>
          <w:lang w:val="ru-RU"/>
        </w:rPr>
        <w:t>Основы информационной безопасности</w:t>
      </w:r>
    </w:p>
    <w:p>
      <w:pPr>
        <w:pStyle w:val="Author"/>
      </w:pPr>
      <w:r>
        <w:rPr>
          <w:rStyle w:val="Section Number"/>
          <w:rtl w:val="0"/>
          <w:lang w:val="ru-RU"/>
        </w:rPr>
        <w:t>Гасанова Шакира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НКАбд</w:t>
      </w:r>
      <w:r>
        <w:rPr>
          <w:rStyle w:val="Section Number"/>
          <w:rtl w:val="0"/>
          <w:lang w:val="ru-RU"/>
        </w:rPr>
        <w:t>-03-24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Body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Выполнение блока 2: Защита ПК/Телефона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2.1 Шифрование диска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</w:rPr>
        <w:t>2.2 Пароли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2.3 Фишинг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2.4 Вирусы. Примеры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2.5 Безопасность мессенджеров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Выводы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Heading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>Пройти второй блок курса “Основы кибербезопасности”</w:t>
      </w:r>
      <w:bookmarkEnd w:id="1"/>
    </w:p>
    <w:p>
      <w:pPr>
        <w:pStyle w:val="Heading"/>
      </w:pPr>
      <w:bookmarkStart w:name="_Toc1" w:id="2"/>
      <w:bookmarkStart w:name="выполнениеблока2защитапктелефона" w:id="3"/>
      <w:r>
        <w:rPr>
          <w:rStyle w:val="Section Number"/>
          <w:rFonts w:cs="Arial Unicode MS" w:eastAsia="Arial Unicode MS"/>
          <w:rtl w:val="0"/>
        </w:rPr>
        <w:t>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Выполнение блока </w:t>
      </w:r>
      <w:r>
        <w:rPr>
          <w:rStyle w:val="Section Number"/>
          <w:rFonts w:cs="Arial Unicode MS" w:eastAsia="Arial Unicode MS"/>
          <w:rtl w:val="0"/>
        </w:rPr>
        <w:t xml:space="preserve">2: </w:t>
      </w:r>
      <w:r>
        <w:rPr>
          <w:rStyle w:val="Section Number"/>
          <w:rFonts w:cs="Arial Unicode MS" w:eastAsia="Arial Unicode MS" w:hint="default"/>
          <w:rtl w:val="0"/>
        </w:rPr>
        <w:t>Защита ПК</w:t>
      </w:r>
      <w:r>
        <w:rPr>
          <w:rStyle w:val="Section Number"/>
          <w:rFonts w:cs="Arial Unicode MS" w:eastAsia="Arial Unicode MS"/>
          <w:rtl w:val="0"/>
        </w:rPr>
        <w:t>/</w:t>
      </w:r>
      <w:r>
        <w:rPr>
          <w:rStyle w:val="Section Number"/>
          <w:rFonts w:cs="Arial Unicode MS" w:eastAsia="Arial Unicode MS" w:hint="default"/>
          <w:rtl w:val="0"/>
        </w:rPr>
        <w:t>Телефона</w:t>
      </w:r>
      <w:bookmarkEnd w:id="3"/>
      <w:bookmarkEnd w:id="2"/>
    </w:p>
    <w:p>
      <w:pPr>
        <w:pStyle w:val="Heading 2"/>
      </w:pPr>
      <w:bookmarkStart w:name="_Toc2" w:id="4"/>
      <w:bookmarkStart w:name="шифрованиедиска" w:id="5"/>
      <w:r>
        <w:rPr>
          <w:rStyle w:val="Section Number"/>
          <w:rFonts w:cs="Arial Unicode MS" w:eastAsia="Arial Unicode MS"/>
          <w:rtl w:val="0"/>
        </w:rPr>
        <w:t>2.1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Шифрование диска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>Шифрование диска — технология защиты информации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переводящая данные на диске в нечитаемый код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который нелегальный пользователь не сможет легко расшифровать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Соответственно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можно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37586"/>
            <wp:effectExtent l="0" t="0" r="0" b="0"/>
            <wp:docPr id="1073741825" name="officeArt object" descr="Вопрос 3.1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опрос 3.1.1" descr="Вопрос 3.1.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37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3.1.1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Шифрование диска основано на симметричном шифровании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51852"/>
            <wp:effectExtent l="0" t="0" r="0" b="0"/>
            <wp:docPr id="1073741826" name="officeArt object" descr="Вопрос 3.1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опрос 3.1.2" descr="Вопрос 3.1.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18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3.1.2</w:t>
      </w:r>
    </w:p>
    <w:p>
      <w:pPr>
        <w:pStyle w:val="Body Text"/>
      </w:pPr>
      <w:r>
        <w:rPr>
          <w:rStyle w:val="Section Number"/>
          <w:rtl w:val="0"/>
          <w:lang w:val="ru-RU"/>
        </w:rPr>
        <w:t>Отмечены программы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 помощью которых можно зашифровать жетский диск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916653"/>
            <wp:effectExtent l="0" t="0" r="0" b="0"/>
            <wp:docPr id="1073741827" name="officeArt object" descr="Вопрос 3.1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опрос 3.1.3" descr="Вопрос 3.1.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166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3: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3.1.3</w:t>
      </w:r>
      <w:bookmarkEnd w:id="5"/>
    </w:p>
    <w:p>
      <w:pPr>
        <w:pStyle w:val="Heading 2"/>
      </w:pPr>
      <w:bookmarkStart w:name="_Toc3" w:id="6"/>
      <w:bookmarkStart w:name="пароли" w:id="7"/>
      <w:r>
        <w:rPr>
          <w:rStyle w:val="Section Number"/>
          <w:rFonts w:cs="Arial Unicode MS" w:eastAsia="Arial Unicode MS"/>
          <w:rtl w:val="0"/>
        </w:rPr>
        <w:t>2.2</w:t>
        <w:tab/>
      </w:r>
      <w:r>
        <w:rPr>
          <w:rStyle w:val="Section Number"/>
          <w:rFonts w:cs="Arial Unicode MS" w:eastAsia="Arial Unicode MS" w:hint="default"/>
          <w:rtl w:val="0"/>
        </w:rPr>
        <w:t>Пароли</w:t>
      </w:r>
      <w:bookmarkEnd w:id="6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Стойкий пароль 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тот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который тяжлее подобрать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он должен быть со спец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символами и длинный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92749"/>
            <wp:effectExtent l="0" t="0" r="0" b="0"/>
            <wp:docPr id="1073741828" name="officeArt object" descr="Вопрос 3.2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опрос 3.2.1" descr="Вопрос 3.2.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927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4: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3.2.1</w:t>
      </w:r>
    </w:p>
    <w:p>
      <w:pPr>
        <w:pStyle w:val="Body Text"/>
      </w:pPr>
      <w:r>
        <w:rPr>
          <w:rStyle w:val="Section Number"/>
          <w:rtl w:val="0"/>
          <w:lang w:val="ru-RU"/>
        </w:rPr>
        <w:t>Все варианты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кроме менеджера паролей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совершенно не надежные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80309"/>
            <wp:effectExtent l="0" t="0" r="0" b="0"/>
            <wp:docPr id="1073741829" name="officeArt object" descr="Вопрос 3.2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опрос 3.2.2" descr="Вопрос 3.2.2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0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5: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3.2.2</w:t>
      </w:r>
    </w:p>
    <w:p>
      <w:pPr>
        <w:pStyle w:val="Body Text"/>
      </w:pPr>
      <w:r>
        <w:rPr>
          <w:rStyle w:val="Section Number"/>
          <w:rtl w:val="0"/>
          <w:lang w:val="ru-RU"/>
        </w:rPr>
        <w:t>Капча нужна для проверки на то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за экраном “не робот”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31650"/>
            <wp:effectExtent l="0" t="0" r="0" b="0"/>
            <wp:docPr id="1073741830" name="officeArt object" descr="Вопрос 3.2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опрос 3.2.3" descr="Вопрос 3.2.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31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6: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3.2.3</w:t>
      </w:r>
    </w:p>
    <w:p>
      <w:pPr>
        <w:pStyle w:val="Body Text"/>
      </w:pPr>
      <w:r>
        <w:rPr>
          <w:rStyle w:val="Section Number"/>
          <w:rtl w:val="0"/>
          <w:lang w:val="ru-RU"/>
        </w:rPr>
        <w:t>Опасно хранить пароли в открытом виде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поэтому хранят их хэши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90036"/>
            <wp:effectExtent l="0" t="0" r="0" b="0"/>
            <wp:docPr id="1073741831" name="officeArt object" descr="Вопрос 3.2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опрос 3.2.4" descr="Вопрос 3.2.4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90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7: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3.2.4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Соль не поможет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55363"/>
            <wp:effectExtent l="0" t="0" r="0" b="0"/>
            <wp:docPr id="1073741832" name="officeArt object" descr="Вопрос 3.2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опрос 3.2.5" descr="Вопрос 3.2.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55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8: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3.2.5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Все приведенные меры защищают от утечек данных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871526"/>
            <wp:effectExtent l="0" t="0" r="0" b="0"/>
            <wp:docPr id="1073741833" name="officeArt object" descr="НВопрос 3.2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НВопрос 3.2.6" descr="НВопрос 3.2.6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71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9: </w:t>
      </w:r>
      <w:r>
        <w:rPr>
          <w:rStyle w:val="Section Number"/>
          <w:rtl w:val="0"/>
          <w:lang w:val="ru-RU"/>
        </w:rPr>
        <w:t xml:space="preserve">НВопрос </w:t>
      </w:r>
      <w:r>
        <w:rPr>
          <w:rStyle w:val="Section Number"/>
          <w:rtl w:val="0"/>
          <w:lang w:val="ru-RU"/>
        </w:rPr>
        <w:t>3.2.6</w:t>
      </w:r>
      <w:bookmarkEnd w:id="7"/>
    </w:p>
    <w:p>
      <w:pPr>
        <w:pStyle w:val="Heading 2"/>
      </w:pPr>
      <w:bookmarkStart w:name="_Toc4" w:id="8"/>
      <w:bookmarkStart w:name="фишинг" w:id="9"/>
      <w:r>
        <w:rPr>
          <w:rStyle w:val="Section Number"/>
          <w:rFonts w:cs="Arial Unicode MS" w:eastAsia="Arial Unicode MS"/>
          <w:rtl w:val="0"/>
        </w:rPr>
        <w:t>2.3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Фишинг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>Фишинговые ссылки очень похожи на ссылки известных сервисов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но с некоторыми отличиями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877317"/>
            <wp:effectExtent l="0" t="0" r="0" b="0"/>
            <wp:docPr id="1073741834" name="officeArt object" descr="Вопрос 3.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опрос 3.3.1" descr="Вопрос 3.3.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773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10: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3.3.1</w:t>
      </w:r>
    </w:p>
    <w:p>
      <w:pPr>
        <w:pStyle w:val="Body Text"/>
      </w:pPr>
      <w:r>
        <w:rPr>
          <w:rStyle w:val="Section Number"/>
          <w:rtl w:val="0"/>
          <w:lang w:val="ru-RU"/>
        </w:rPr>
        <w:t>Да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может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например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пользователя со знакомым адресом взломали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08418"/>
            <wp:effectExtent l="0" t="0" r="0" b="0"/>
            <wp:docPr id="1073741835" name="officeArt object" descr="Вопрос 3.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опрос 3.3.2" descr="Вопрос 3.3.2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084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11: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3.3.2</w:t>
      </w:r>
      <w:bookmarkEnd w:id="9"/>
    </w:p>
    <w:p>
      <w:pPr>
        <w:pStyle w:val="Heading 2"/>
      </w:pPr>
      <w:bookmarkStart w:name="_Toc5" w:id="10"/>
      <w:bookmarkStart w:name="вирусы.примеры" w:id="11"/>
      <w:r>
        <w:rPr>
          <w:rStyle w:val="Section Number"/>
          <w:rFonts w:cs="Arial Unicode MS" w:eastAsia="Arial Unicode MS"/>
          <w:rtl w:val="0"/>
        </w:rPr>
        <w:t>2.4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Вирусы</w:t>
      </w:r>
      <w:r>
        <w:rPr>
          <w:rStyle w:val="Section Number"/>
          <w:rFonts w:cs="Arial Unicode MS" w:eastAsia="Arial Unicode MS"/>
          <w:rtl w:val="0"/>
        </w:rPr>
        <w:t xml:space="preserve">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Примеры</w:t>
      </w:r>
      <w:bookmarkEnd w:id="1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Ответ дан в соответствии с определением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01390"/>
            <wp:effectExtent l="0" t="0" r="0" b="0"/>
            <wp:docPr id="1073741836" name="officeArt object" descr="Вопрос 3.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опрос 3.4.1" descr="Вопрос 3.4.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01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12: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3.4.1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Троян маскируется под обычную программу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16851"/>
            <wp:effectExtent l="0" t="0" r="0" b="0"/>
            <wp:docPr id="1073741837" name="officeArt object" descr="Вопрос 3.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опрос 3.4.2" descr="Вопрос 3.4.2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168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13: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3.4.2</w:t>
      </w:r>
      <w:bookmarkEnd w:id="11"/>
    </w:p>
    <w:p>
      <w:pPr>
        <w:pStyle w:val="Heading 2"/>
      </w:pPr>
      <w:bookmarkStart w:name="_Toc6" w:id="12"/>
      <w:bookmarkStart w:name="безопасностьмессенджеров" w:id="13"/>
      <w:r>
        <w:rPr>
          <w:rStyle w:val="Section Number"/>
          <w:rFonts w:cs="Arial Unicode MS" w:eastAsia="Arial Unicode MS"/>
          <w:rtl w:val="0"/>
        </w:rPr>
        <w:t>2.5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Безопасность мессенджеров</w:t>
      </w:r>
      <w:bookmarkEnd w:id="12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При установке первого сообщения отправителем формируется ключ шифрования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711712"/>
            <wp:effectExtent l="0" t="0" r="0" b="0"/>
            <wp:docPr id="1073741838" name="officeArt object" descr="Вопрос 3.5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опрос 3.5.1" descr="Вопрос 3.5.1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117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14: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3.5.1</w:t>
      </w:r>
    </w:p>
    <w:p>
      <w:pPr>
        <w:pStyle w:val="Body Text"/>
      </w:pPr>
      <w:r>
        <w:rPr>
          <w:rStyle w:val="Section Number"/>
          <w:rtl w:val="0"/>
          <w:lang w:val="ru-RU"/>
        </w:rPr>
        <w:t>Суть сквозного шифрования состоит в том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сообзения передаются по узлам связи в зашифрованном виде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94872"/>
            <wp:effectExtent l="0" t="0" r="0" b="0"/>
            <wp:docPr id="1073741839" name="officeArt object" descr="Вопрос 3.5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опрос 3.5.2" descr="Вопрос 3.5.2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94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15: </w:t>
      </w:r>
      <w:r>
        <w:rPr>
          <w:rStyle w:val="Section Number"/>
          <w:rtl w:val="0"/>
          <w:lang w:val="ru-RU"/>
        </w:rPr>
        <w:t xml:space="preserve">Вопрос </w:t>
      </w:r>
      <w:r>
        <w:rPr>
          <w:rStyle w:val="Section Number"/>
          <w:rtl w:val="0"/>
          <w:lang w:val="ru-RU"/>
        </w:rPr>
        <w:t>3.5.2</w:t>
      </w:r>
      <w:bookmarkEnd w:id="13"/>
    </w:p>
    <w:p>
      <w:pPr>
        <w:pStyle w:val="Heading"/>
      </w:pPr>
      <w:bookmarkStart w:name="_Toc7" w:id="14"/>
      <w:bookmarkStart w:name="выводы" w:id="15"/>
      <w:r>
        <w:rPr>
          <w:rStyle w:val="Section Number"/>
          <w:rFonts w:cs="Arial Unicode MS" w:eastAsia="Arial Unicode MS"/>
          <w:rtl w:val="0"/>
        </w:rPr>
        <w:t>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14"/>
    </w:p>
    <w:p>
      <w:pPr>
        <w:pStyle w:val="First Paragraph"/>
      </w:pPr>
      <w:r>
        <w:rPr>
          <w:rStyle w:val="Section Number"/>
          <w:rtl w:val="0"/>
          <w:lang w:val="ru-RU"/>
        </w:rPr>
        <w:t>Был пройден второй блок курса “Основы кибербезопасности”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изучены правила хранения паролей и основная информация о вирусах</w:t>
      </w:r>
      <w:bookmarkEnd w:id="15"/>
    </w:p>
    <w:sectPr>
      <w:headerReference w:type="default" r:id="rId19"/>
      <w:footerReference w:type="default" r:id="rId20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