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HOME MORTGAGE LOAN ORIGINATION PLATFORM</w:t>
      </w:r>
    </w:p>
    <w:p>
      <w:pPr>
        <w:pBdr>
          <w:bottom w:val="single" w:color="1A6B72" w:sz="12" w:space="6"/>
        </w:pBdr>
        <w:spacing w:after="80" w:before="0"/>
      </w:pPr>
      <w:r>
        <w:rPr>
          <w:rFonts w:ascii="Arial" w:cs="Arial" w:eastAsia="Arial" w:hAnsi="Arial"/>
          <w:color w:val="1A6B72"/>
          <w:sz w:val="26"/>
          <w:szCs w:val="26"/>
        </w:rPr>
        <w:t xml:space="preserve">Technology Strategy &amp; Vendor-Agnostic Evaluation Framework</w:t>
      </w:r>
    </w:p>
    <w:p>
      <w:pPr>
        <w:spacing w:after="360" w:before="12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Document Class: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Enterprise Architecture  |  </w:t>
      </w: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Intended Lifespan: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7–10 Years  |  </w:t>
      </w: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Status: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Draft for Review</w:t>
      </w:r>
    </w:p>
    <w:p>
      <w:pPr>
        <w:pStyle w:val="Heading1"/>
        <w:pBdr>
          <w:bottom w:val="single" w:color="1B3A5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I — TECHNOLOGY STRATEGY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1. Strategic Intent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document defines the architectural direction, phased development roadmap, integration model, and operational framework for building a home mortgage loan origination platform designed to remain competitive over a 7-to-10-year operational horizon. It is intentionally vendor-agnostic — the architectural principles and evaluation criteria govern vendor selection, not the reverse.</w:t>
      </w:r>
    </w:p>
    <w:p>
      <w:pPr>
        <w:pBdr>
          <w:top w:val="single" w:color="D0D8E4" w:sz="4"/>
          <w:bottom w:val="single" w:color="D0D8E4" w:sz="4"/>
          <w:left w:val="single" w:color="2E6DA4" w:sz="12" w:space="8"/>
          <w:right w:val="single" w:color="D0D8E4" w:sz="4"/>
        </w:pBdr>
        <w:shd w:fill="F2F5F8" w:val="clear"/>
        <w:spacing w:after="80" w:before="80"/>
        <w:ind w:left="360" w:right="360"/>
      </w:pPr>
      <w:r>
        <w:rPr>
          <w:rFonts w:ascii="Arial" w:cs="Arial" w:eastAsia="Arial" w:hAnsi="Arial"/>
          <w:color w:val="1B3A5C"/>
          <w:sz w:val="19"/>
          <w:szCs w:val="19"/>
        </w:rPr>
        <w:t xml:space="preserve">Design principle: The platform is a durable workflow engine, not a point-in-time software purchase. Vendor relationships are assets with expiry dates; the architecture must outlast any single vendor.</w:t>
      </w:r>
    </w:p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2. Architectural Vision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 Core Design Tenets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API-first, event-driven microservices — every domain boundary is a contract, not a code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 engine at the core — the origination process is modelled as a stateful, auditable directed acyclic graph (DAG), not a rigid form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Compliance as infrastructure — regulatory rules (TRID, RESPA, ECOA, HMDA, fair lending) are first-class configuration, not hardcoded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as a replaceable module — LLM/ML components slot into the pipeline via well-defined tool-call interfaces; swapping models does not require re-architecting the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sovereignty — the institution owns its loan data schema; no vendor holds the only key to export or interpret it.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 Logical Architecture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Presentation Layer: Borrower portal (web/mobile PWA), loan officer desktop, third-party broker portal — all consuming the same API surface.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 Orchestration Layer: Stateful process engine (e.g., Temporal, Conductor) managing loan lifecycle stages: application → processing → underwriting → approval → closing → post-close.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Domain Service Layer: Decomposed bounded contexts — origination, underwriting, document management, compliance, pricing, secondary market, servicing handoff.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Integration Bus: Async event broker (Kafka / Amazon MSK) decoupling internal services and external partner webhooks; synchronous REST/GraphQL for latency-sensitive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AI/LLM Layer: Document intelligence (OCR + extraction), guideline interpretation, adverse action reasoning, conversational underwriter assist — deployed as sidecar services behind a model gateway.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Platform: Operational store (RDBMS + document store), event store (immutable audit log), analytics warehouse (Redshift / Snowflake), and a regulatory data mart for HMDA/LAR.</w:t>
      </w:r>
    </w:p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3. Phased Development Roadmap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roadmap follows a horizon model: build a stable, compliant foundation before layering AI automation. Each phase produces independently releasable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/ Horizon</w:t>
            </w:r>
          </w:p>
        </w:tc>
        <w:tc>
          <w:tcPr>
            <w:tcW w:type="dxa" w:w="5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 Delivered</w:t>
            </w:r>
          </w:p>
        </w:tc>
        <w:tc>
          <w:tcPr>
            <w:tcW w:type="dxa" w:w="2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Outcomes</w:t>
            </w:r>
          </w:p>
        </w:tc>
      </w:tr>
      <w:tr>
        <w:tc>
          <w:tcPr>
            <w:tcW w:type="dxa" w:w="1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1
Foundation
(Yr 1–2)</w:t>
            </w:r>
          </w:p>
        </w:tc>
        <w:tc>
          <w:tcPr>
            <w:tcW w:type="dxa" w:w="5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LOS workflow engine (origination, underwriting pipeline)
API gateway &amp; integration bus
Identity / RBAC framework
Compliance rule engine (TRID, RESPA, HMDA)
Baseline monitoring &amp; alerting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Stable loan intake &amp; decisioning
Regulator-ready audit trail
CI/CD pipeline live</w:t>
            </w:r>
          </w:p>
        </w:tc>
      </w:tr>
      <w:tr>
        <w:tc>
          <w:tcPr>
            <w:tcW w:type="dxa" w:w="1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2
Expansion
(Yr 3–5)</w:t>
            </w:r>
          </w:p>
        </w:tc>
        <w:tc>
          <w:tcPr>
            <w:tcW w:type="dxa" w:w="5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AI-assisted document extraction (OCR + LLM)
Borrower-facing digital portal
Third-party data integrations (credit, flood, title)
Analytics warehouse (loan pipeline BI)
Event-driven microservices migration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Automated income/asset verification
Self-serve borrower experience
Real-time pipeline dashboards</w:t>
            </w:r>
          </w:p>
        </w:tc>
      </w:tr>
      <w:tr>
        <w:tc>
          <w:tcPr>
            <w:tcW w:type="dxa" w:w="1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3
Optimise
(Yr 6–10)</w:t>
            </w:r>
          </w:p>
        </w:tc>
        <w:tc>
          <w:tcPr>
            <w:tcW w:type="dxa" w:w="5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Agentic underwriting recommendations
Predictive pipeline analytics (ML)
Modular swap of commodity components
Regulatory model refresh (fair lending AI)
Legacy decommission schedule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Lights-out processing for conforming loans
Sustained competitive parity
Controlled EOL planning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4. Integration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Third-party integrations represent 60–70% of origination processing complexity. The integration model must be standardised, observable, and resilient to partner API changes across the platform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Domain</w:t>
            </w:r>
          </w:p>
        </w:tc>
        <w:tc>
          <w:tcPr>
            <w:tcW w:type="dxa" w:w="28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Representative Partners</w:t>
            </w:r>
          </w:p>
        </w:tc>
        <w:tc>
          <w:tcPr>
            <w:tcW w:type="dxa" w:w="40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Notes &amp; Standards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Credit &amp; Risk Data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Experian, Equifax, TransUnion, CoreLogic</w:t>
            </w:r>
          </w:p>
        </w:tc>
        <w:tc>
          <w:tcPr>
            <w:tcW w:type="dxa" w:w="40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MISMO 3.4 / ULAD XML; point-in-time audit snapshots retained per FCRA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Income &amp; Employment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Work Number (Equifax), Plaid, Finicity</w:t>
            </w:r>
          </w:p>
        </w:tc>
        <w:tc>
          <w:tcPr>
            <w:tcW w:type="dxa" w:w="40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OAuth 2.0 consumer-permissioned; fallback to VOE document upload path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Title &amp; Flood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American, Stewart, FEMA NFHL</w:t>
            </w:r>
          </w:p>
        </w:tc>
        <w:tc>
          <w:tcPr>
            <w:tcW w:type="dxa" w:w="40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 webhooks on order status; store title commitment doc in loan vault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Appraisal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Mercury Network, Clear Capital, Freddie ACE</w:t>
            </w:r>
          </w:p>
        </w:tc>
        <w:tc>
          <w:tcPr>
            <w:tcW w:type="dxa" w:w="40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UAD XML ingest; AIR compliance enforced at gateway level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Investor / GSE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Fannie DU, Freddie LPA, MERS, Encompass API</w:t>
            </w:r>
          </w:p>
        </w:tc>
        <w:tc>
          <w:tcPr>
            <w:tcW w:type="dxa" w:w="40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DU/LPA findings stored as structured JSON; MERS MIN registration automated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 Execution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DocuSign, Adobe Sign</w:t>
            </w:r>
          </w:p>
        </w:tc>
        <w:tc>
          <w:tcPr>
            <w:tcW w:type="dxa" w:w="40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eNote compliant; MISMO eSigning standards for SMART Doc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Compliance &amp; QC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ACES Quality Management, ComplianceSystems</w:t>
            </w:r>
          </w:p>
        </w:tc>
        <w:tc>
          <w:tcPr>
            <w:tcW w:type="dxa" w:w="40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Automated SAR/LAR submissions; HMDA data integrity checks pre-close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Core Banking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Fiserv, Jack Henry, FIS Profile (if bank/CU)</w:t>
            </w:r>
          </w:p>
        </w:tc>
        <w:tc>
          <w:tcPr>
            <w:tcW w:type="dxa" w:w="40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API or FTP batch fallback; real-time balance sync for disbursement</w:t>
            </w:r>
          </w:p>
        </w:tc>
      </w:tr>
    </w:tbl>
    <w:p>
      <w:pPr>
        <w:spacing w:after="60" w:before="0"/>
      </w:pPr>
    </w:p>
    <w:p>
      <w:pPr>
        <w:pBdr>
          <w:top w:val="single" w:color="D0D8E4" w:sz="4"/>
          <w:bottom w:val="single" w:color="D0D8E4" w:sz="4"/>
          <w:left w:val="single" w:color="2E6DA4" w:sz="12" w:space="8"/>
          <w:right w:val="single" w:color="D0D8E4" w:sz="4"/>
        </w:pBdr>
        <w:shd w:fill="F2F5F8" w:val="clear"/>
        <w:spacing w:after="80" w:before="80"/>
        <w:ind w:left="360" w:right="360"/>
      </w:pPr>
      <w:r>
        <w:rPr>
          <w:rFonts w:ascii="Arial" w:cs="Arial" w:eastAsia="Arial" w:hAnsi="Arial"/>
          <w:color w:val="1B3A5C"/>
          <w:sz w:val="19"/>
          <w:szCs w:val="19"/>
        </w:rPr>
        <w:t xml:space="preserve">Integration principle: All third-party calls are brokered through an internal integration gateway with circuit breakers, retry budgets, and structured audit logs. No direct service-to-service calls to external partners.</w:t>
      </w:r>
    </w:p>
    <w:p>
      <w:pPr>
        <w:spacing w:after="60" w:before="0"/>
      </w:pPr>
    </w:p>
    <w:p>
      <w:r>
        <w:br w:type="page"/>
      </w:r>
    </w:p>
    <w:p>
      <w:pPr>
        <w:pStyle w:val="Heading1"/>
        <w:pBdr>
          <w:bottom w:val="single" w:color="1B3A5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II — VENDOR-AGNOSTIC EVALUATION FRAMEWORK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5. Vendor Landscape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current market offers five distinct architectural patterns for loan origination platforms. Each pattern represents a different build-vs-buy trade-off and carries different long-term risk profiles across a 7–10 year horizon.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Enterprise LOS (Encompass, Empower, MeridianLink, Mortgagebot)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Mature, battle-tested platforms with deep GSE connectivity and large implementation ecosystems. Their liability is architectural age — most were designed before API-first and cloud-native patterns were standard. Integration extensibility typically requires proprietary SDKs and licensed middleware, creating long-term lock-in risk.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Bank-Core Integrated (nCino)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Salesforce-native platforms offering strong CRM convergence and credit union / community bank workflow fit. Compelling for institutions already standardised on the Salesforce platform. Evaluate the dependency risk: the platform lifespan is bounded by Salesforce's roadmap and licensing trajectory.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AI-Native LOS (Vesta, LendingPad, LendFoundry)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Next-generation platforms built API-first with task-based automation embedded at the workflow level. Vesta's backing by a16z and adoption by Pennymac signals institutional confidence. Best long-term architectural fit; highest scrutiny required on financial stability, support depth, and regulatory coverage completeness — as newer vendors carry greater business continuity risk.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Point-Solution AI (Candor Technology, Ocrolus, Addy AI, Upstart, Zeitro)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Surgical automation tools for discrete problems: document classification (Ocrolus), underwriting logic (Candor), borrower communication (Addy AI), credit risk pricing (Upstart). The plug-in model allows incremental modernisation of a legacy LOS without a full platform replacement — the preferred low-risk AI entry path for institutions not ready for full platform migration.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Open-Source / Custom Build Foundation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Frameworks such as Apache Fineract (core banking/microfinance primitives) or custom workflow engines built on Temporal/Conductor. Maximum architectural control and data sovereignty; highest initial engineering investment and total cost of in-house maintenance over the lifecycle. Viable for large institutions with mature engineering organisations that treat the LOS as a core competency.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6. Weighted Evaluation Matrix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Score each candidate vendor against the criteria below using evidence gathered during RFI/RFP. H = High fit / Low risk. M = Moderate or conditional. L = Low fit / High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  <w:gridCol w:w="1160"/>
        <w:gridCol w:w="13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Evaluation Criterion</w:t>
            </w:r>
          </w:p>
        </w:tc>
        <w:tc>
          <w:tcPr>
            <w:tcW w:type="dxa" w:w="1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 LOS
(Encompass/Empower)</w:t>
            </w:r>
          </w:p>
        </w:tc>
        <w:tc>
          <w:tcPr>
            <w:tcW w:type="dxa" w:w="1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Bank-Core
Integrated
(nCino)</w:t>
            </w:r>
          </w:p>
        </w:tc>
        <w:tc>
          <w:tcPr>
            <w:tcW w:type="dxa" w:w="1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AI-Native LOS
(Vesta-type)</w:t>
            </w:r>
          </w:p>
        </w:tc>
        <w:tc>
          <w:tcPr>
            <w:tcW w:type="dxa" w:w="1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Point-Solution AI
(Candor/Ocrolus)</w:t>
            </w:r>
          </w:p>
        </w:tc>
        <w:tc>
          <w:tcPr>
            <w:tcW w:type="dxa" w:w="1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Open-Source
Foundation
(Custom Build)</w:t>
            </w:r>
          </w:p>
        </w:tc>
        <w:tc>
          <w:tcPr>
            <w:tcW w:type="dxa" w:w="1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API-First / Integration Openness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</w:t>
            </w:r>
          </w:p>
        </w:tc>
        <w:tc>
          <w:tcPr>
            <w:tcW w:type="dxa" w:w="13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Weight: 20%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/ Agentic Capability Maturity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</w:t>
            </w:r>
          </w:p>
        </w:tc>
        <w:tc>
          <w:tcPr>
            <w:tcW w:type="dxa" w:w="13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Weight: 20%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Regulatory Compliance Coverage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3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Weight: 15%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Cost of Ownership (7–10 yr)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</w:t>
            </w:r>
          </w:p>
        </w:tc>
        <w:tc>
          <w:tcPr>
            <w:tcW w:type="dxa" w:w="13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Weight: 15%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Scalability &amp; Performance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3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Weight: 10%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Vendor Stability &amp; Support SLA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3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Weight: 10%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Portability / Exit Strategy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</w:t>
            </w:r>
          </w:p>
        </w:tc>
        <w:tc>
          <w:tcPr>
            <w:tcW w:type="dxa" w:w="11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</w:t>
            </w:r>
          </w:p>
        </w:tc>
        <w:tc>
          <w:tcPr>
            <w:tcW w:type="dxa" w:w="13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Weight: 10%</w:t>
            </w:r>
          </w:p>
        </w:tc>
      </w:tr>
      <w:tr>
        <w:tc>
          <w:tcPr>
            <w:tcW w:type="dxa" w:w="9360"/>
            <w:gridSpan w:val="7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Legend: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H = High fit / Low risk   </w:t>
            </w: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 = Moderate / Conditional fit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 = Low fit / High risk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7. Strategic Procurement Recommendation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Recommended Pattern: Hybrid — AI-Native Core LOS + Targeted Point-Solution AI Augmentation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Select an AI-native LOS as the workflow backbone (Phase 1 foundation), then incrementally layer best-of-breed point solutions for document intelligence and underwriting assist (Phase 2). This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Modern architecture with API extensibility — critical for the 7–10 year horizon.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vendor lock-in: the point-solution AI layer is swappable without replacing the core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De-risked AI adoption: document intelligence and communication automation are provably ROI-positive before committing to autonomous underwriting.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E6DA4"/>
          <w:sz w:val="20"/>
          <w:szCs w:val="20"/>
        </w:rPr>
        <w:t xml:space="preserve">Avoid selecting any vendor whose data export capability scores L. An institution unable to migrate its loan data off a platform is structurally captive regardless of contractual protections.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Contract &amp; Lifecycle Protections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 source escrow or documented data schema + export API in all vendor contracts.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Mandate 24-month advance notice for product discontinuation.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 annual price escalation clauses at CPI + 2%.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Negotiate independent audit rights for any AI model used in adverse action decisions (ECOA / FCRA compliance).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 payment milestones to contractual deliverable milestones, not calendar dates.</w:t>
      </w:r>
    </w:p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8. Day-to-Day Operational Model (Full Production)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When the platform is fully operational, the following runbook table governs standing operational commitments across the platform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Operational Domain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Threshold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Approach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SLA / Uptime</w:t>
            </w:r>
          </w:p>
        </w:tc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99.9% (8.7 hrs downtime/yr)</w:t>
            </w:r>
          </w:p>
        </w:tc>
        <w:tc>
          <w:tcPr>
            <w:tcW w:type="dxa" w:w="2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Blue/green deployment; regional failover; chaos engineering quarterly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Release Cadence</w:t>
            </w:r>
          </w:p>
        </w:tc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2-week sprint; monthly production cut</w:t>
            </w:r>
          </w:p>
        </w:tc>
        <w:tc>
          <w:tcPr>
            <w:tcW w:type="dxa" w:w="2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 flags; trunk-based dev; automated regression gate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Compliance Refresh</w:t>
            </w:r>
          </w:p>
        </w:tc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Regulatory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+ ad-hoc (reg change)</w:t>
            </w:r>
          </w:p>
        </w:tc>
        <w:tc>
          <w:tcPr>
            <w:tcW w:type="dxa" w:w="2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Rules engine config-driven; no code deploy for most reg changes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Model Governance</w:t>
            </w:r>
          </w:p>
        </w:tc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AI/LLM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Quarterly bias audit</w:t>
            </w:r>
          </w:p>
        </w:tc>
        <w:tc>
          <w:tcPr>
            <w:tcW w:type="dxa" w:w="2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Fair lending log; human-in-loop for adverse action; model card per model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Ops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 &lt; 15 min MTTD; &lt; 1 hr MTTR</w:t>
            </w:r>
          </w:p>
        </w:tc>
        <w:tc>
          <w:tcPr>
            <w:tcW w:type="dxa" w:w="2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PagerDuty; CloudWatch; runbooks in Confluence; war-room protocol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Legal/Audit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years post-loan close</w:t>
            </w:r>
          </w:p>
        </w:tc>
        <w:tc>
          <w:tcPr>
            <w:tcW w:type="dxa" w:w="2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S3 Glacier tiered; immutable object lock; SOC 2 Type II annual audit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Vendor Review Cycle</w:t>
            </w:r>
          </w:p>
        </w:tc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Vendor Mgmt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scorecard</w:t>
            </w:r>
          </w:p>
        </w:tc>
        <w:tc>
          <w:tcPr>
            <w:tcW w:type="dxa" w:w="2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 against matrix criteria; renegotiate SLA or initiate replacement track</w:t>
            </w:r>
          </w:p>
        </w:tc>
      </w:tr>
      <w:tr>
        <w:tc>
          <w:tcPr>
            <w:tcW w:type="dxa" w:w="2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Technology EOL Review</w:t>
            </w:r>
          </w:p>
        </w:tc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56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2 years</w:t>
            </w:r>
          </w:p>
        </w:tc>
        <w:tc>
          <w:tcPr>
            <w:tcW w:type="dxa" w:w="26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Decommission dated components; re-evaluate AI layer against market</w:t>
            </w:r>
          </w:p>
        </w:tc>
      </w:tr>
    </w:tbl>
    <w:p>
      <w:pPr>
        <w:spacing w:after="60" w:before="0"/>
      </w:pPr>
    </w:p>
    <w:p>
      <w:pPr>
        <w:pBdr>
          <w:top w:val="single" w:color="D0D8E4" w:sz="4"/>
          <w:bottom w:val="single" w:color="D0D8E4" w:sz="4"/>
          <w:left w:val="single" w:color="2E6DA4" w:sz="12" w:space="8"/>
          <w:right w:val="single" w:color="D0D8E4" w:sz="4"/>
        </w:pBdr>
        <w:shd w:fill="F2F5F8" w:val="clear"/>
        <w:spacing w:after="80" w:before="80"/>
        <w:ind w:left="360" w:right="360"/>
      </w:pPr>
      <w:r>
        <w:rPr>
          <w:rFonts w:ascii="Arial" w:cs="Arial" w:eastAsia="Arial" w:hAnsi="Arial"/>
          <w:color w:val="1B3A5C"/>
          <w:sz w:val="19"/>
          <w:szCs w:val="19"/>
        </w:rPr>
        <w:t xml:space="preserve">Operational principle: Compliance, AI governance, and vendor health reviews are recurring operational events, not one-time setup tasks. Budget headcount and tooling for continuous operation from Day 1.</w:t>
      </w:r>
    </w:p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9. Technology Refresh &amp; EOL Planning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7–10 year horizon will span at least two generational shifts in AI capability and one major cloud platform evolution. The architecture must be designed for change, not designed to avoid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Biennial architecture review: formally re-evaluate the AI layer, integration patterns, and infrastructure primitives against the current market.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Component retirement budget: allocate 10–15% of ongoing engineering capacity to decommissioning and modernisation — not just net-new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 scorecard reviews: annual reviews with written performance assessments; initiate replacement track if a vendor scores L on two or more criteria in consecutive years.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Regulatory model refresh: treat fair lending and AI risk model governance as a standing programme, not a project. Regulatory expectations around AI in underwriting will evolve materially by Year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platform evolution: plan for a migration from the initial operational database to a lakehouse-style architecture by Year 5–6 to support advanced analytics and ML training pipelines.</w:t>
      </w:r>
    </w:p>
    <w:p>
      <w:pPr>
        <w:spacing w:after="60" w:before="0"/>
      </w:pPr>
    </w:p>
    <w:p>
      <w:pPr>
        <w:pBdr>
          <w:top w:val="single" w:color="1B3A5C" w:sz="6" w:space="8"/>
        </w:pBdr>
        <w:spacing w:after="0" w:before="240"/>
        <w:jc w:val="center"/>
      </w:pPr>
      <w:r>
        <w:rPr>
          <w:rFonts w:ascii="Arial" w:cs="Arial" w:eastAsia="Arial" w:hAnsi="Arial"/>
          <w:color w:val="2E6DA4"/>
          <w:sz w:val="17"/>
          <w:szCs w:val="17"/>
        </w:rPr>
        <w:t xml:space="preserve">This document is a living artefact. Schedule the first formal review 12 months from adoption.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6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2E6DA4"/>
        <w:sz w:val="16"/>
        <w:szCs w:val="16"/>
      </w:rPr>
      <w:t xml:space="preserve">CONFIDENTIAL — FOR INTERNAL USE ONLY</w:t>
    </w:r>
    <w:r>
      <w:rPr>
        <w:rFonts w:ascii="Arial" w:cs="Arial" w:eastAsia="Arial" w:hAnsi="Arial"/>
        <w:color w:val="2E6DA4"/>
        <w:sz w:val="16"/>
        <w:szCs w:val="16"/>
      </w:rPr>
      <w:t xml:space="preserve">	Page </w:t>
    </w:r>
    <w:r>
      <w:rPr>
        <w:rFonts w:ascii="Arial" w:cs="Arial" w:eastAsia="Arial" w:hAnsi="Arial"/>
        <w:color w:val="2E6DA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6DA4"/>
        <w:sz w:val="16"/>
        <w:szCs w:val="16"/>
      </w:rPr>
      <w:t xml:space="preserve"> of </w:t>
    </w:r>
    <w:r>
      <w:rPr>
        <w:rFonts w:ascii="Arial" w:cs="Arial" w:eastAsia="Arial" w:hAnsi="Arial"/>
        <w:color w:val="2E6DA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8" w:space="6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HOME MORTGAGE LOAN ORIGINATION PLATFORM</w:t>
    </w:r>
    <w:r>
      <w:rPr>
        <w:rFonts w:ascii="Arial" w:cs="Arial" w:eastAsia="Arial" w:hAnsi="Arial"/>
        <w:color w:val="2E6DA4"/>
        <w:sz w:val="17"/>
        <w:szCs w:val="17"/>
      </w:rPr>
      <w:t xml:space="preserve">	Technology Strategy &amp; Vendor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6B7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2026-04-29T02:52:13.263Z</dcterms:created>
  <dcterms:modified xsi:type="dcterms:W3CDTF">2026-04-29T02:52:13.263Z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