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2E4A7D"/>
          <w:sz w:val="52"/>
          <w:szCs w:val="52"/>
        </w:rPr>
        <w:t xml:space="preserve">PhishGuard AI</w:t>
      </w:r>
    </w:p>
    <w:p>
      <w:pPr>
        <w:spacing w:after="340"/>
        <w:jc w:val="center"/>
      </w:pPr>
      <w:r>
        <w:rPr>
          <w:color w:val="5A6474"/>
          <w:sz w:val="24"/>
          <w:szCs w:val="24"/>
        </w:rPr>
        <w:t xml:space="preserve">Intelligent Phishing Email Detection &amp; Classification System</w:t>
      </w:r>
    </w:p>
    <w:p>
      <w:pPr>
        <w:pBdr>
          <w:bottom w:val="single" w:color="2E4A7D" w:sz="6"/>
        </w:pBdr>
        <w:spacing w:after="200" w:before="60"/>
      </w:pPr>
      <w:r>
        <w:rPr>
          <w:sz w:val="2"/>
          <w:szCs w:val="2"/>
        </w:rPr>
        <w:t xml:space="preserve"/>
      </w:r>
    </w:p>
    <w:p>
      <w:pPr>
        <w:spacing w:after="120"/>
        <w:jc w:val="center"/>
      </w:pPr>
      <w:r>
        <w:rPr>
          <w:b/>
          <w:bCs/>
          <w:sz w:val="32"/>
          <w:szCs w:val="32"/>
        </w:rPr>
        <w:t xml:space="preserve">Member 2 — Report Sections</w:t>
      </w:r>
    </w:p>
    <w:p>
      <w:pPr>
        <w:spacing w:after="500"/>
        <w:jc w:val="center"/>
      </w:pPr>
      <w:r>
        <w:rPr>
          <w:color w:val="5A6474"/>
          <w:sz w:val="22"/>
          <w:szCs w:val="22"/>
        </w:rPr>
        <w:t xml:space="preserve">Dataset Description  ·  Logistic Regression  ·  GRU</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200"/>
        <w:gridCol w:w="6300"/>
      </w:tblGrid>
      <w:tr>
        <w:trPr>
          <w:tblHeader/>
        </w:trPr>
        <w:tc>
          <w:tcPr>
            <w:tcW w:type="dxa" w:w="2200"/>
            <w:shd w:fill="2E4A7D" w:color="auto" w:val="clear"/>
            <w:tcMar>
              <w:top w:type="dxa" w:w="70"/>
              <w:left w:type="dxa" w:w="110"/>
              <w:bottom w:type="dxa" w:w="70"/>
              <w:right w:type="dxa" w:w="110"/>
            </w:tcMar>
          </w:tcPr>
          <w:p>
            <w:pPr>
              <w:spacing w:after="0"/>
              <w:jc w:val="left"/>
            </w:pPr>
            <w:r>
              <w:rPr>
                <w:b/>
                <w:bCs/>
                <w:color w:val="FFFFFF"/>
                <w:sz w:val="20"/>
                <w:szCs w:val="20"/>
              </w:rPr>
              <w:t xml:space="preserve">Field</w:t>
            </w:r>
          </w:p>
        </w:tc>
        <w:tc>
          <w:tcPr>
            <w:tcW w:type="dxa" w:w="6300"/>
            <w:shd w:fill="2E4A7D" w:color="auto" w:val="clear"/>
            <w:tcMar>
              <w:top w:type="dxa" w:w="70"/>
              <w:left w:type="dxa" w:w="110"/>
              <w:bottom w:type="dxa" w:w="70"/>
              <w:right w:type="dxa" w:w="110"/>
            </w:tcMar>
          </w:tcPr>
          <w:p>
            <w:pPr>
              <w:spacing w:after="0"/>
              <w:jc w:val="center"/>
            </w:pPr>
            <w:r>
              <w:rPr>
                <w:b/>
                <w:bCs/>
                <w:color w:val="FFFFFF"/>
                <w:sz w:val="20"/>
                <w:szCs w:val="20"/>
              </w:rPr>
              <w:t xml:space="preserve">Detail</w:t>
            </w:r>
          </w:p>
        </w:tc>
      </w:tr>
      <w:tr>
        <w:trPr>
          <w:tblHeader w:val="false"/>
        </w:trPr>
        <w:tc>
          <w:tcPr>
            <w:tcW w:type="dxa" w:w="2200"/>
            <w:tcMar>
              <w:top w:type="dxa" w:w="70"/>
              <w:left w:type="dxa" w:w="110"/>
              <w:bottom w:type="dxa" w:w="70"/>
              <w:right w:type="dxa" w:w="110"/>
            </w:tcMar>
          </w:tcPr>
          <w:p>
            <w:pPr>
              <w:spacing w:after="0"/>
              <w:jc w:val="left"/>
            </w:pPr>
            <w:r>
              <w:rPr>
                <w:b/>
                <w:bCs/>
                <w:sz w:val="20"/>
                <w:szCs w:val="20"/>
              </w:rPr>
              <w:t xml:space="preserve">Author</w:t>
            </w:r>
          </w:p>
        </w:tc>
        <w:tc>
          <w:tcPr>
            <w:tcW w:type="dxa" w:w="6300"/>
            <w:tcMar>
              <w:top w:type="dxa" w:w="70"/>
              <w:left w:type="dxa" w:w="110"/>
              <w:bottom w:type="dxa" w:w="70"/>
              <w:right w:type="dxa" w:w="110"/>
            </w:tcMar>
          </w:tcPr>
          <w:p>
            <w:pPr>
              <w:spacing w:after="0"/>
              <w:jc w:val="center"/>
            </w:pPr>
            <w:r>
              <w:rPr>
                <w:b w:val="false"/>
                <w:bCs w:val="false"/>
                <w:sz w:val="20"/>
                <w:szCs w:val="20"/>
              </w:rPr>
              <w:t xml:space="preserve">Nishen Madawa</w:t>
            </w:r>
          </w:p>
        </w:tc>
      </w:tr>
      <w:tr>
        <w:trPr>
          <w:tblHeader w:val="false"/>
        </w:trPr>
        <w:tc>
          <w:tcPr>
            <w:tcW w:type="dxa" w:w="2200"/>
            <w:shd w:fill="F2F4F8" w:color="auto" w:val="clear"/>
            <w:tcMar>
              <w:top w:type="dxa" w:w="70"/>
              <w:left w:type="dxa" w:w="110"/>
              <w:bottom w:type="dxa" w:w="70"/>
              <w:right w:type="dxa" w:w="110"/>
            </w:tcMar>
          </w:tcPr>
          <w:p>
            <w:pPr>
              <w:spacing w:after="0"/>
              <w:jc w:val="left"/>
            </w:pPr>
            <w:r>
              <w:rPr>
                <w:b/>
                <w:bCs/>
                <w:sz w:val="20"/>
                <w:szCs w:val="20"/>
              </w:rPr>
              <w:t xml:space="preserve">Student ID</w:t>
            </w:r>
          </w:p>
        </w:tc>
        <w:tc>
          <w:tcPr>
            <w:tcW w:type="dxa" w:w="6300"/>
            <w:shd w:fill="F2F4F8" w:color="auto" w:val="clear"/>
            <w:tcMar>
              <w:top w:type="dxa" w:w="70"/>
              <w:left w:type="dxa" w:w="110"/>
              <w:bottom w:type="dxa" w:w="70"/>
              <w:right w:type="dxa" w:w="110"/>
            </w:tcMar>
          </w:tcPr>
          <w:p>
            <w:pPr>
              <w:spacing w:after="0"/>
              <w:jc w:val="center"/>
            </w:pPr>
            <w:r>
              <w:rPr>
                <w:b w:val="false"/>
                <w:bCs w:val="false"/>
                <w:sz w:val="20"/>
                <w:szCs w:val="20"/>
              </w:rPr>
              <w:t xml:space="preserve">CIT-24-01-0256</w:t>
            </w:r>
          </w:p>
        </w:tc>
      </w:tr>
      <w:tr>
        <w:trPr>
          <w:tblHeader w:val="false"/>
        </w:trPr>
        <w:tc>
          <w:tcPr>
            <w:tcW w:type="dxa" w:w="2200"/>
            <w:tcMar>
              <w:top w:type="dxa" w:w="70"/>
              <w:left w:type="dxa" w:w="110"/>
              <w:bottom w:type="dxa" w:w="70"/>
              <w:right w:type="dxa" w:w="110"/>
            </w:tcMar>
          </w:tcPr>
          <w:p>
            <w:pPr>
              <w:spacing w:after="0"/>
              <w:jc w:val="left"/>
            </w:pPr>
            <w:r>
              <w:rPr>
                <w:b/>
                <w:bCs/>
                <w:sz w:val="20"/>
                <w:szCs w:val="20"/>
              </w:rPr>
              <w:t xml:space="preserve">Group</w:t>
            </w:r>
          </w:p>
        </w:tc>
        <w:tc>
          <w:tcPr>
            <w:tcW w:type="dxa" w:w="6300"/>
            <w:tcMar>
              <w:top w:type="dxa" w:w="70"/>
              <w:left w:type="dxa" w:w="110"/>
              <w:bottom w:type="dxa" w:w="70"/>
              <w:right w:type="dxa" w:w="110"/>
            </w:tcMar>
          </w:tcPr>
          <w:p>
            <w:pPr>
              <w:spacing w:after="0"/>
              <w:jc w:val="center"/>
            </w:pPr>
            <w:r>
              <w:rPr>
                <w:b w:val="false"/>
                <w:bCs w:val="false"/>
                <w:sz w:val="20"/>
                <w:szCs w:val="20"/>
              </w:rPr>
              <w:t xml:space="preserve">Neural Nexus (Group 16)</w:t>
            </w:r>
          </w:p>
        </w:tc>
      </w:tr>
      <w:tr>
        <w:trPr>
          <w:tblHeader w:val="false"/>
        </w:trPr>
        <w:tc>
          <w:tcPr>
            <w:tcW w:type="dxa" w:w="2200"/>
            <w:shd w:fill="F2F4F8" w:color="auto" w:val="clear"/>
            <w:tcMar>
              <w:top w:type="dxa" w:w="70"/>
              <w:left w:type="dxa" w:w="110"/>
              <w:bottom w:type="dxa" w:w="70"/>
              <w:right w:type="dxa" w:w="110"/>
            </w:tcMar>
          </w:tcPr>
          <w:p>
            <w:pPr>
              <w:spacing w:after="0"/>
              <w:jc w:val="left"/>
            </w:pPr>
            <w:r>
              <w:rPr>
                <w:b/>
                <w:bCs/>
                <w:sz w:val="20"/>
                <w:szCs w:val="20"/>
              </w:rPr>
              <w:t xml:space="preserve">Module</w:t>
            </w:r>
          </w:p>
        </w:tc>
        <w:tc>
          <w:tcPr>
            <w:tcW w:type="dxa" w:w="6300"/>
            <w:shd w:fill="F2F4F8" w:color="auto" w:val="clear"/>
            <w:tcMar>
              <w:top w:type="dxa" w:w="70"/>
              <w:left w:type="dxa" w:w="110"/>
              <w:bottom w:type="dxa" w:w="70"/>
              <w:right w:type="dxa" w:w="110"/>
            </w:tcMar>
          </w:tcPr>
          <w:p>
            <w:pPr>
              <w:spacing w:after="0"/>
              <w:jc w:val="center"/>
            </w:pPr>
            <w:r>
              <w:rPr>
                <w:b w:val="false"/>
                <w:bCs w:val="false"/>
                <w:sz w:val="20"/>
                <w:szCs w:val="20"/>
              </w:rPr>
              <w:t xml:space="preserve">CCS3356 — Natural Language Processing</w:t>
            </w:r>
          </w:p>
        </w:tc>
      </w:tr>
      <w:tr>
        <w:trPr>
          <w:tblHeader w:val="false"/>
        </w:trPr>
        <w:tc>
          <w:tcPr>
            <w:tcW w:type="dxa" w:w="2200"/>
            <w:tcMar>
              <w:top w:type="dxa" w:w="70"/>
              <w:left w:type="dxa" w:w="110"/>
              <w:bottom w:type="dxa" w:w="70"/>
              <w:right w:type="dxa" w:w="110"/>
            </w:tcMar>
          </w:tcPr>
          <w:p>
            <w:pPr>
              <w:spacing w:after="0"/>
              <w:jc w:val="left"/>
            </w:pPr>
            <w:r>
              <w:rPr>
                <w:b/>
                <w:bCs/>
                <w:sz w:val="20"/>
                <w:szCs w:val="20"/>
              </w:rPr>
              <w:t xml:space="preserve">Institution</w:t>
            </w:r>
          </w:p>
        </w:tc>
        <w:tc>
          <w:tcPr>
            <w:tcW w:type="dxa" w:w="6300"/>
            <w:tcMar>
              <w:top w:type="dxa" w:w="70"/>
              <w:left w:type="dxa" w:w="110"/>
              <w:bottom w:type="dxa" w:w="70"/>
              <w:right w:type="dxa" w:w="110"/>
            </w:tcMar>
          </w:tcPr>
          <w:p>
            <w:pPr>
              <w:spacing w:after="0"/>
              <w:jc w:val="center"/>
            </w:pPr>
            <w:r>
              <w:rPr>
                <w:b w:val="false"/>
                <w:bCs w:val="false"/>
                <w:sz w:val="20"/>
                <w:szCs w:val="20"/>
              </w:rPr>
              <w:t xml:space="preserve">Sri Lanka Technology Campus</w:t>
            </w:r>
          </w:p>
        </w:tc>
      </w:tr>
      <w:tr>
        <w:trPr>
          <w:tblHeader w:val="false"/>
        </w:trPr>
        <w:tc>
          <w:tcPr>
            <w:tcW w:type="dxa" w:w="2200"/>
            <w:shd w:fill="F2F4F8" w:color="auto" w:val="clear"/>
            <w:tcMar>
              <w:top w:type="dxa" w:w="70"/>
              <w:left w:type="dxa" w:w="110"/>
              <w:bottom w:type="dxa" w:w="70"/>
              <w:right w:type="dxa" w:w="110"/>
            </w:tcMar>
          </w:tcPr>
          <w:p>
            <w:pPr>
              <w:spacing w:after="0"/>
              <w:jc w:val="left"/>
            </w:pPr>
            <w:r>
              <w:rPr>
                <w:b/>
                <w:bCs/>
                <w:sz w:val="20"/>
                <w:szCs w:val="20"/>
              </w:rPr>
              <w:t xml:space="preserve">Models</w:t>
            </w:r>
          </w:p>
        </w:tc>
        <w:tc>
          <w:tcPr>
            <w:tcW w:type="dxa" w:w="6300"/>
            <w:shd w:fill="F2F4F8" w:color="auto" w:val="clear"/>
            <w:tcMar>
              <w:top w:type="dxa" w:w="70"/>
              <w:left w:type="dxa" w:w="110"/>
              <w:bottom w:type="dxa" w:w="70"/>
              <w:right w:type="dxa" w:w="110"/>
            </w:tcMar>
          </w:tcPr>
          <w:p>
            <w:pPr>
              <w:spacing w:after="0"/>
              <w:jc w:val="center"/>
            </w:pPr>
            <w:r>
              <w:rPr>
                <w:b w:val="false"/>
                <w:bCs w:val="false"/>
                <w:sz w:val="20"/>
                <w:szCs w:val="20"/>
              </w:rPr>
              <w:t xml:space="preserve">Logistic Regression (ML) · GRU (DL)</w:t>
            </w:r>
          </w:p>
        </w:tc>
      </w:tr>
      <w:tr>
        <w:trPr>
          <w:tblHeader w:val="false"/>
        </w:trPr>
        <w:tc>
          <w:tcPr>
            <w:tcW w:type="dxa" w:w="2200"/>
            <w:tcMar>
              <w:top w:type="dxa" w:w="70"/>
              <w:left w:type="dxa" w:w="110"/>
              <w:bottom w:type="dxa" w:w="70"/>
              <w:right w:type="dxa" w:w="110"/>
            </w:tcMar>
          </w:tcPr>
          <w:p>
            <w:pPr>
              <w:spacing w:after="0"/>
              <w:jc w:val="left"/>
            </w:pPr>
            <w:r>
              <w:rPr>
                <w:b/>
                <w:bCs/>
                <w:sz w:val="20"/>
                <w:szCs w:val="20"/>
              </w:rPr>
              <w:t xml:space="preserve">Branch</w:t>
            </w:r>
          </w:p>
        </w:tc>
        <w:tc>
          <w:tcPr>
            <w:tcW w:type="dxa" w:w="6300"/>
            <w:tcMar>
              <w:top w:type="dxa" w:w="70"/>
              <w:left w:type="dxa" w:w="110"/>
              <w:bottom w:type="dxa" w:w="70"/>
              <w:right w:type="dxa" w:w="110"/>
            </w:tcMar>
          </w:tcPr>
          <w:p>
            <w:pPr>
              <w:spacing w:after="0"/>
              <w:jc w:val="center"/>
            </w:pPr>
            <w:r>
              <w:rPr>
                <w:b w:val="false"/>
                <w:bCs w:val="false"/>
                <w:sz w:val="20"/>
                <w:szCs w:val="20"/>
              </w:rPr>
              <w:t xml:space="preserve">feature/nishen_CIT-24-01-0256</w:t>
            </w:r>
          </w:p>
        </w:tc>
      </w:tr>
    </w:tbl>
    <w:p>
      <w:r>
        <w:br w:type="page"/>
      </w:r>
    </w:p>
    <w:p>
      <w:pPr>
        <w:pStyle w:val="Heading1"/>
        <w:spacing w:after="140" w:before="360"/>
      </w:pPr>
      <w:r>
        <w:rPr>
          <w:b/>
          <w:bCs/>
          <w:color w:val="2E4A7D"/>
          <w:sz w:val="30"/>
          <w:szCs w:val="30"/>
        </w:rPr>
        <w:t xml:space="preserve">1. Dataset Description</w:t>
      </w:r>
    </w:p>
    <w:p>
      <w:pPr>
        <w:pStyle w:val="Heading2"/>
        <w:spacing w:after="140" w:before="260"/>
      </w:pPr>
      <w:r>
        <w:rPr>
          <w:b/>
          <w:bCs/>
          <w:color w:val="2E4A7D"/>
          <w:sz w:val="25"/>
          <w:szCs w:val="25"/>
        </w:rPr>
        <w:t xml:space="preserve">1.1 Source and composition</w:t>
      </w:r>
    </w:p>
    <w:p>
      <w:pPr>
        <w:spacing w:after="140" w:line="276"/>
      </w:pPr>
      <w:r>
        <w:rPr>
          <w:sz w:val="22"/>
          <w:szCs w:val="22"/>
        </w:rPr>
        <w:t xml:space="preserve">The dataset used throughout this project is the Phishing Email Dataset published on Kaggle by Naser Abdullah Alam, distributed under a CC-BY-SA-4.0 licence. It is not a single collection but an aggregation of six established email corpora, combined into one labelled file so that phishing detection can be studied across a range of writing styles, time periods and attack types.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3200"/>
        <w:gridCol w:w="5300"/>
      </w:tblGrid>
      <w:tr>
        <w:trPr>
          <w:tblHeader/>
        </w:trPr>
        <w:tc>
          <w:tcPr>
            <w:tcW w:type="dxa" w:w="3200"/>
            <w:shd w:fill="2E4A7D" w:color="auto" w:val="clear"/>
            <w:tcMar>
              <w:top w:type="dxa" w:w="70"/>
              <w:left w:type="dxa" w:w="110"/>
              <w:bottom w:type="dxa" w:w="70"/>
              <w:right w:type="dxa" w:w="110"/>
            </w:tcMar>
          </w:tcPr>
          <w:p>
            <w:pPr>
              <w:spacing w:after="0"/>
              <w:jc w:val="left"/>
            </w:pPr>
            <w:r>
              <w:rPr>
                <w:b/>
                <w:bCs/>
                <w:color w:val="FFFFFF"/>
                <w:sz w:val="20"/>
                <w:szCs w:val="20"/>
              </w:rPr>
              <w:t xml:space="preserve">Constituent corpus</w:t>
            </w:r>
          </w:p>
        </w:tc>
        <w:tc>
          <w:tcPr>
            <w:tcW w:type="dxa" w:w="5300"/>
            <w:shd w:fill="2E4A7D" w:color="auto" w:val="clear"/>
            <w:tcMar>
              <w:top w:type="dxa" w:w="70"/>
              <w:left w:type="dxa" w:w="110"/>
              <w:bottom w:type="dxa" w:w="70"/>
              <w:right w:type="dxa" w:w="110"/>
            </w:tcMar>
          </w:tcPr>
          <w:p>
            <w:pPr>
              <w:spacing w:after="0"/>
              <w:jc w:val="center"/>
            </w:pPr>
            <w:r>
              <w:rPr>
                <w:b/>
                <w:bCs/>
                <w:color w:val="FFFFFF"/>
                <w:sz w:val="20"/>
                <w:szCs w:val="20"/>
              </w:rPr>
              <w:t xml:space="preserve">Contributes</w:t>
            </w:r>
          </w:p>
        </w:tc>
      </w:tr>
      <w:tr>
        <w:trPr>
          <w:tblHeader w:val="false"/>
        </w:trPr>
        <w:tc>
          <w:tcPr>
            <w:tcW w:type="dxa" w:w="3200"/>
            <w:tcMar>
              <w:top w:type="dxa" w:w="70"/>
              <w:left w:type="dxa" w:w="110"/>
              <w:bottom w:type="dxa" w:w="70"/>
              <w:right w:type="dxa" w:w="110"/>
            </w:tcMar>
          </w:tcPr>
          <w:p>
            <w:pPr>
              <w:spacing w:after="0"/>
              <w:jc w:val="left"/>
            </w:pPr>
            <w:r>
              <w:rPr>
                <w:b/>
                <w:bCs/>
                <w:sz w:val="20"/>
                <w:szCs w:val="20"/>
              </w:rPr>
              <w:t xml:space="preserve">Enron</w:t>
            </w:r>
          </w:p>
        </w:tc>
        <w:tc>
          <w:tcPr>
            <w:tcW w:type="dxa" w:w="5300"/>
            <w:tcMar>
              <w:top w:type="dxa" w:w="70"/>
              <w:left w:type="dxa" w:w="110"/>
              <w:bottom w:type="dxa" w:w="70"/>
              <w:right w:type="dxa" w:w="110"/>
            </w:tcMar>
          </w:tcPr>
          <w:p>
            <w:pPr>
              <w:spacing w:after="0"/>
              <w:jc w:val="center"/>
            </w:pPr>
            <w:r>
              <w:rPr>
                <w:b w:val="false"/>
                <w:bCs w:val="false"/>
                <w:sz w:val="20"/>
                <w:szCs w:val="20"/>
              </w:rPr>
              <w:t xml:space="preserve">Legitimate corporate email</w:t>
            </w:r>
          </w:p>
        </w:tc>
      </w:tr>
      <w:tr>
        <w:trPr>
          <w:tblHeader w:val="false"/>
        </w:trPr>
        <w:tc>
          <w:tcPr>
            <w:tcW w:type="dxa" w:w="3200"/>
            <w:shd w:fill="F2F4F8" w:color="auto" w:val="clear"/>
            <w:tcMar>
              <w:top w:type="dxa" w:w="70"/>
              <w:left w:type="dxa" w:w="110"/>
              <w:bottom w:type="dxa" w:w="70"/>
              <w:right w:type="dxa" w:w="110"/>
            </w:tcMar>
          </w:tcPr>
          <w:p>
            <w:pPr>
              <w:spacing w:after="0"/>
              <w:jc w:val="left"/>
            </w:pPr>
            <w:r>
              <w:rPr>
                <w:b/>
                <w:bCs/>
                <w:sz w:val="20"/>
                <w:szCs w:val="20"/>
              </w:rPr>
              <w:t xml:space="preserve">Ling-Spam</w:t>
            </w:r>
          </w:p>
        </w:tc>
        <w:tc>
          <w:tcPr>
            <w:tcW w:type="dxa" w:w="5300"/>
            <w:shd w:fill="F2F4F8" w:color="auto" w:val="clear"/>
            <w:tcMar>
              <w:top w:type="dxa" w:w="70"/>
              <w:left w:type="dxa" w:w="110"/>
              <w:bottom w:type="dxa" w:w="70"/>
              <w:right w:type="dxa" w:w="110"/>
            </w:tcMar>
          </w:tcPr>
          <w:p>
            <w:pPr>
              <w:spacing w:after="0"/>
              <w:jc w:val="center"/>
            </w:pPr>
            <w:r>
              <w:rPr>
                <w:b w:val="false"/>
                <w:bCs w:val="false"/>
                <w:sz w:val="20"/>
                <w:szCs w:val="20"/>
              </w:rPr>
              <w:t xml:space="preserve">Academic mailing list traffic and spam</w:t>
            </w:r>
          </w:p>
        </w:tc>
      </w:tr>
      <w:tr>
        <w:trPr>
          <w:tblHeader w:val="false"/>
        </w:trPr>
        <w:tc>
          <w:tcPr>
            <w:tcW w:type="dxa" w:w="3200"/>
            <w:tcMar>
              <w:top w:type="dxa" w:w="70"/>
              <w:left w:type="dxa" w:w="110"/>
              <w:bottom w:type="dxa" w:w="70"/>
              <w:right w:type="dxa" w:w="110"/>
            </w:tcMar>
          </w:tcPr>
          <w:p>
            <w:pPr>
              <w:spacing w:after="0"/>
              <w:jc w:val="left"/>
            </w:pPr>
            <w:r>
              <w:rPr>
                <w:b/>
                <w:bCs/>
                <w:sz w:val="20"/>
                <w:szCs w:val="20"/>
              </w:rPr>
              <w:t xml:space="preserve">CEAS-08</w:t>
            </w:r>
          </w:p>
        </w:tc>
        <w:tc>
          <w:tcPr>
            <w:tcW w:type="dxa" w:w="5300"/>
            <w:tcMar>
              <w:top w:type="dxa" w:w="70"/>
              <w:left w:type="dxa" w:w="110"/>
              <w:bottom w:type="dxa" w:w="70"/>
              <w:right w:type="dxa" w:w="110"/>
            </w:tcMar>
          </w:tcPr>
          <w:p>
            <w:pPr>
              <w:spacing w:after="0"/>
              <w:jc w:val="center"/>
            </w:pPr>
            <w:r>
              <w:rPr>
                <w:b w:val="false"/>
                <w:bCs w:val="false"/>
                <w:sz w:val="20"/>
                <w:szCs w:val="20"/>
              </w:rPr>
              <w:t xml:space="preserve">Spam and ham from a 2008 anti-spam challenge</w:t>
            </w:r>
          </w:p>
        </w:tc>
      </w:tr>
      <w:tr>
        <w:trPr>
          <w:tblHeader w:val="false"/>
        </w:trPr>
        <w:tc>
          <w:tcPr>
            <w:tcW w:type="dxa" w:w="3200"/>
            <w:shd w:fill="F2F4F8" w:color="auto" w:val="clear"/>
            <w:tcMar>
              <w:top w:type="dxa" w:w="70"/>
              <w:left w:type="dxa" w:w="110"/>
              <w:bottom w:type="dxa" w:w="70"/>
              <w:right w:type="dxa" w:w="110"/>
            </w:tcMar>
          </w:tcPr>
          <w:p>
            <w:pPr>
              <w:spacing w:after="0"/>
              <w:jc w:val="left"/>
            </w:pPr>
            <w:r>
              <w:rPr>
                <w:b/>
                <w:bCs/>
                <w:sz w:val="20"/>
                <w:szCs w:val="20"/>
              </w:rPr>
              <w:t xml:space="preserve">Nazario</w:t>
            </w:r>
          </w:p>
        </w:tc>
        <w:tc>
          <w:tcPr>
            <w:tcW w:type="dxa" w:w="5300"/>
            <w:shd w:fill="F2F4F8" w:color="auto" w:val="clear"/>
            <w:tcMar>
              <w:top w:type="dxa" w:w="70"/>
              <w:left w:type="dxa" w:w="110"/>
              <w:bottom w:type="dxa" w:w="70"/>
              <w:right w:type="dxa" w:w="110"/>
            </w:tcMar>
          </w:tcPr>
          <w:p>
            <w:pPr>
              <w:spacing w:after="0"/>
              <w:jc w:val="center"/>
            </w:pPr>
            <w:r>
              <w:rPr>
                <w:b w:val="false"/>
                <w:bCs w:val="false"/>
                <w:sz w:val="20"/>
                <w:szCs w:val="20"/>
              </w:rPr>
              <w:t xml:space="preserve">A curated archive of real phishing emails</w:t>
            </w:r>
          </w:p>
        </w:tc>
      </w:tr>
      <w:tr>
        <w:trPr>
          <w:tblHeader w:val="false"/>
        </w:trPr>
        <w:tc>
          <w:tcPr>
            <w:tcW w:type="dxa" w:w="3200"/>
            <w:tcMar>
              <w:top w:type="dxa" w:w="70"/>
              <w:left w:type="dxa" w:w="110"/>
              <w:bottom w:type="dxa" w:w="70"/>
              <w:right w:type="dxa" w:w="110"/>
            </w:tcMar>
          </w:tcPr>
          <w:p>
            <w:pPr>
              <w:spacing w:after="0"/>
              <w:jc w:val="left"/>
            </w:pPr>
            <w:r>
              <w:rPr>
                <w:b/>
                <w:bCs/>
                <w:sz w:val="20"/>
                <w:szCs w:val="20"/>
              </w:rPr>
              <w:t xml:space="preserve">Nigerian Fraud</w:t>
            </w:r>
          </w:p>
        </w:tc>
        <w:tc>
          <w:tcPr>
            <w:tcW w:type="dxa" w:w="5300"/>
            <w:tcMar>
              <w:top w:type="dxa" w:w="70"/>
              <w:left w:type="dxa" w:w="110"/>
              <w:bottom w:type="dxa" w:w="70"/>
              <w:right w:type="dxa" w:w="110"/>
            </w:tcMar>
          </w:tcPr>
          <w:p>
            <w:pPr>
              <w:spacing w:after="0"/>
              <w:jc w:val="center"/>
            </w:pPr>
            <w:r>
              <w:rPr>
                <w:b w:val="false"/>
                <w:bCs w:val="false"/>
                <w:sz w:val="20"/>
                <w:szCs w:val="20"/>
              </w:rPr>
              <w:t xml:space="preserve">Advance-fee fraud ("419") emails</w:t>
            </w:r>
          </w:p>
        </w:tc>
      </w:tr>
      <w:tr>
        <w:trPr>
          <w:tblHeader w:val="false"/>
        </w:trPr>
        <w:tc>
          <w:tcPr>
            <w:tcW w:type="dxa" w:w="3200"/>
            <w:shd w:fill="F2F4F8" w:color="auto" w:val="clear"/>
            <w:tcMar>
              <w:top w:type="dxa" w:w="70"/>
              <w:left w:type="dxa" w:w="110"/>
              <w:bottom w:type="dxa" w:w="70"/>
              <w:right w:type="dxa" w:w="110"/>
            </w:tcMar>
          </w:tcPr>
          <w:p>
            <w:pPr>
              <w:spacing w:after="0"/>
              <w:jc w:val="left"/>
            </w:pPr>
            <w:r>
              <w:rPr>
                <w:b/>
                <w:bCs/>
                <w:sz w:val="20"/>
                <w:szCs w:val="20"/>
              </w:rPr>
              <w:t xml:space="preserve">SpamAssassin</w:t>
            </w:r>
          </w:p>
        </w:tc>
        <w:tc>
          <w:tcPr>
            <w:tcW w:type="dxa" w:w="5300"/>
            <w:shd w:fill="F2F4F8" w:color="auto" w:val="clear"/>
            <w:tcMar>
              <w:top w:type="dxa" w:w="70"/>
              <w:left w:type="dxa" w:w="110"/>
              <w:bottom w:type="dxa" w:w="70"/>
              <w:right w:type="dxa" w:w="110"/>
            </w:tcMar>
          </w:tcPr>
          <w:p>
            <w:pPr>
              <w:spacing w:after="0"/>
              <w:jc w:val="center"/>
            </w:pPr>
            <w:r>
              <w:rPr>
                <w:b w:val="false"/>
                <w:bCs w:val="false"/>
                <w:sz w:val="20"/>
                <w:szCs w:val="20"/>
              </w:rPr>
              <w:t xml:space="preserve">A public spam/ham benchmark</w:t>
            </w:r>
          </w:p>
        </w:tc>
      </w:tr>
    </w:tbl>
    <w:p>
      <w:pPr>
        <w:spacing w:after="200" w:line="276"/>
      </w:pPr>
      <w:r>
        <w:rPr>
          <w:sz w:val="22"/>
          <w:szCs w:val="22"/>
        </w:rPr>
        <w:t xml:space="preserve">The download provides each source corpus as a separate CSV alongside a combined file, phishing_email.csv. All work reported here uses the combined file, which is the ~82,500-email dataset described in the project brief. This distinction matters: the individual source files are far smaller and much easier to classify, so results obtained from them are not comparable to results obtained from the combined dataset.</w:t>
      </w:r>
    </w:p>
    <w:p>
      <w:pPr>
        <w:pStyle w:val="Heading2"/>
        <w:spacing w:after="140" w:before="260"/>
      </w:pPr>
      <w:r>
        <w:rPr>
          <w:b/>
          <w:bCs/>
          <w:color w:val="2E4A7D"/>
          <w:sz w:val="25"/>
          <w:szCs w:val="25"/>
        </w:rPr>
        <w:t xml:space="preserve">1.2 Structure and size</w:t>
      </w:r>
    </w:p>
    <w:p>
      <w:pPr>
        <w:spacing w:after="140" w:line="276"/>
      </w:pPr>
      <w:r>
        <w:rPr>
          <w:sz w:val="22"/>
          <w:szCs w:val="22"/>
        </w:rPr>
        <w:t xml:space="preserve">The combined file contains two columns: text_combined, holding the subject line and body concatenated into a single string, and label, a binary target where 1 denotes phishing and 0 denotes legitimate. The raw file holds 82,486 rows. Three rows were removed — one with a missing value and two whose text reduced to an empty string after preprocessing — leaving 82,483 usable emails.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4000"/>
        <w:gridCol w:w="4500"/>
      </w:tblGrid>
      <w:tr>
        <w:trPr>
          <w:tblHeader/>
        </w:trPr>
        <w:tc>
          <w:tcPr>
            <w:tcW w:type="dxa" w:w="4000"/>
            <w:shd w:fill="2E4A7D" w:color="auto" w:val="clear"/>
            <w:tcMar>
              <w:top w:type="dxa" w:w="70"/>
              <w:left w:type="dxa" w:w="110"/>
              <w:bottom w:type="dxa" w:w="70"/>
              <w:right w:type="dxa" w:w="110"/>
            </w:tcMar>
          </w:tcPr>
          <w:p>
            <w:pPr>
              <w:spacing w:after="0"/>
              <w:jc w:val="left"/>
            </w:pPr>
            <w:r>
              <w:rPr>
                <w:b/>
                <w:bCs/>
                <w:color w:val="FFFFFF"/>
                <w:sz w:val="20"/>
                <w:szCs w:val="20"/>
              </w:rPr>
              <w:t xml:space="preserve">Property</w:t>
            </w:r>
          </w:p>
        </w:tc>
        <w:tc>
          <w:tcPr>
            <w:tcW w:type="dxa" w:w="4500"/>
            <w:shd w:fill="2E4A7D" w:color="auto" w:val="clear"/>
            <w:tcMar>
              <w:top w:type="dxa" w:w="70"/>
              <w:left w:type="dxa" w:w="110"/>
              <w:bottom w:type="dxa" w:w="70"/>
              <w:right w:type="dxa" w:w="110"/>
            </w:tcMar>
          </w:tcPr>
          <w:p>
            <w:pPr>
              <w:spacing w:after="0"/>
              <w:jc w:val="center"/>
            </w:pPr>
            <w:r>
              <w:rPr>
                <w:b/>
                <w:bCs/>
                <w:color w:val="FFFFFF"/>
                <w:sz w:val="20"/>
                <w:szCs w:val="20"/>
              </w:rPr>
              <w:t xml:space="preserve">Value</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Rows in raw file</w:t>
            </w:r>
          </w:p>
        </w:tc>
        <w:tc>
          <w:tcPr>
            <w:tcW w:type="dxa" w:w="4500"/>
            <w:tcMar>
              <w:top w:type="dxa" w:w="70"/>
              <w:left w:type="dxa" w:w="110"/>
              <w:bottom w:type="dxa" w:w="70"/>
              <w:right w:type="dxa" w:w="110"/>
            </w:tcMar>
          </w:tcPr>
          <w:p>
            <w:pPr>
              <w:spacing w:after="0"/>
              <w:jc w:val="center"/>
            </w:pPr>
            <w:r>
              <w:rPr>
                <w:b w:val="false"/>
                <w:bCs w:val="false"/>
                <w:sz w:val="20"/>
                <w:szCs w:val="20"/>
              </w:rPr>
              <w:t xml:space="preserve">82,486</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Rows after cleaning</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82,483</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Phishing (label = 1)</w:t>
            </w:r>
          </w:p>
        </w:tc>
        <w:tc>
          <w:tcPr>
            <w:tcW w:type="dxa" w:w="4500"/>
            <w:tcMar>
              <w:top w:type="dxa" w:w="70"/>
              <w:left w:type="dxa" w:w="110"/>
              <w:bottom w:type="dxa" w:w="70"/>
              <w:right w:type="dxa" w:w="110"/>
            </w:tcMar>
          </w:tcPr>
          <w:p>
            <w:pPr>
              <w:spacing w:after="0"/>
              <w:jc w:val="center"/>
            </w:pPr>
            <w:r>
              <w:rPr>
                <w:b w:val="false"/>
                <w:bCs w:val="false"/>
                <w:sz w:val="20"/>
                <w:szCs w:val="20"/>
              </w:rPr>
              <w:t xml:space="preserve">42,888  (52.0%)</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Legitimate (label = 0)</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39,595  (48.0%)</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Mean length after preprocessing</w:t>
            </w:r>
          </w:p>
        </w:tc>
        <w:tc>
          <w:tcPr>
            <w:tcW w:type="dxa" w:w="4500"/>
            <w:tcMar>
              <w:top w:type="dxa" w:w="70"/>
              <w:left w:type="dxa" w:w="110"/>
              <w:bottom w:type="dxa" w:w="70"/>
              <w:right w:type="dxa" w:w="110"/>
            </w:tcMar>
          </w:tcPr>
          <w:p>
            <w:pPr>
              <w:spacing w:after="0"/>
              <w:jc w:val="center"/>
            </w:pPr>
            <w:r>
              <w:rPr>
                <w:b w:val="false"/>
                <w:bCs w:val="false"/>
                <w:sz w:val="20"/>
                <w:szCs w:val="20"/>
              </w:rPr>
              <w:t xml:space="preserve">141.4 tokens</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Median length after preprocessing</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67 tokens</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Emails longer than 200 tokens</w:t>
            </w:r>
          </w:p>
        </w:tc>
        <w:tc>
          <w:tcPr>
            <w:tcW w:type="dxa" w:w="4500"/>
            <w:tcMar>
              <w:top w:type="dxa" w:w="70"/>
              <w:left w:type="dxa" w:w="110"/>
              <w:bottom w:type="dxa" w:w="70"/>
              <w:right w:type="dxa" w:w="110"/>
            </w:tcMar>
          </w:tcPr>
          <w:p>
            <w:pPr>
              <w:spacing w:after="0"/>
              <w:jc w:val="center"/>
            </w:pPr>
            <w:r>
              <w:rPr>
                <w:b w:val="false"/>
                <w:bCs w:val="false"/>
                <w:sz w:val="20"/>
                <w:szCs w:val="20"/>
              </w:rPr>
              <w:t xml:space="preserve">16.3%</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Training set (80%)</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65,986 emails</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Test set (20%)</w:t>
            </w:r>
          </w:p>
        </w:tc>
        <w:tc>
          <w:tcPr>
            <w:tcW w:type="dxa" w:w="4500"/>
            <w:tcMar>
              <w:top w:type="dxa" w:w="70"/>
              <w:left w:type="dxa" w:w="110"/>
              <w:bottom w:type="dxa" w:w="70"/>
              <w:right w:type="dxa" w:w="110"/>
            </w:tcMar>
          </w:tcPr>
          <w:p>
            <w:pPr>
              <w:spacing w:after="0"/>
              <w:jc w:val="center"/>
            </w:pPr>
            <w:r>
              <w:rPr>
                <w:b w:val="false"/>
                <w:bCs w:val="false"/>
                <w:sz w:val="20"/>
                <w:szCs w:val="20"/>
              </w:rPr>
              <w:t xml:space="preserve">16,497 emails</w:t>
            </w:r>
          </w:p>
        </w:tc>
      </w:tr>
    </w:tbl>
    <w:p>
      <w:pPr>
        <w:spacing w:after="160" w:line="276"/>
      </w:pPr>
      <w:r>
        <w:rPr>
          <w:sz w:val="22"/>
          <w:szCs w:val="22"/>
        </w:rPr>
        <w:t xml:space="preserve">The class distribution is close to balanced at 52% to 48%. This is convenient — it means accuracy is a meaningful headline metric rather than a misleading one — but class weighting was still applied to both models so that neither developed a bias toward the majority class.</w:t>
      </w:r>
    </w:p>
    <w:p>
      <w:pPr>
        <w:spacing w:after="60" w:before="16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09825"/>
                    </a:xfrm>
                    <a:prstGeom prst="rect">
                      <a:avLst/>
                    </a:prstGeom>
                  </pic:spPr>
                </pic:pic>
              </a:graphicData>
            </a:graphic>
          </wp:inline>
        </w:drawing>
      </w:r>
    </w:p>
    <w:p>
      <w:pPr>
        <w:spacing w:after="220"/>
        <w:jc w:val="center"/>
      </w:pPr>
      <w:r>
        <w:rPr>
          <w:i/>
          <w:iCs/>
          <w:color w:val="5A6474"/>
          <w:sz w:val="18"/>
          <w:szCs w:val="18"/>
        </w:rPr>
        <w:t xml:space="preserve">Figure 1 — Class distribution across the 82,483 emails used.</w:t>
      </w:r>
    </w:p>
    <w:p>
      <w:pPr>
        <w:spacing w:after="140" w:line="276"/>
      </w:pPr>
      <w:r>
        <w:rPr>
          <w:sz w:val="22"/>
          <w:szCs w:val="22"/>
        </w:rPr>
        <w:t xml:space="preserve">The token-length figures carry a practical consequence for the deep learning model. The median email reduces to 67 tokens after preprocessing, but the distribution has a long tail: 16.3% of emails exceed 200 tokens. Since sequences were padded and truncated to a fixed length of 200, roughly one email in six is truncated and its tail is not seen by the GRU. A longer sequence length would capture more of those emails, at a directly proportional cost in training time.</w:t>
      </w:r>
    </w:p>
    <w:p>
      <w:pPr>
        <w:pStyle w:val="Heading2"/>
        <w:spacing w:after="140" w:before="260"/>
      </w:pPr>
      <w:r>
        <w:rPr>
          <w:b/>
          <w:bCs/>
          <w:color w:val="2E4A7D"/>
          <w:sz w:val="25"/>
          <w:szCs w:val="25"/>
        </w:rPr>
        <w:t xml:space="preserve">1.3 Preprocessing pipeline</w:t>
      </w:r>
    </w:p>
    <w:p>
      <w:pPr>
        <w:spacing w:after="140" w:line="276"/>
      </w:pPr>
      <w:r>
        <w:rPr>
          <w:sz w:val="22"/>
          <w:szCs w:val="22"/>
        </w:rPr>
        <w:t xml:space="preserve">A single preprocessing function was written using NLTK and applied to the full dataset. The steps, in order:</w:t>
      </w:r>
    </w:p>
    <w:p>
      <w:pPr>
        <w:pStyle w:val="ListParagraph"/>
        <w:numPr>
          <w:ilvl w:val="0"/>
          <w:numId w:val="2"/>
        </w:numPr>
        <w:spacing w:after="80" w:line="276"/>
      </w:pPr>
      <w:r>
        <w:rPr>
          <w:sz w:val="22"/>
          <w:szCs w:val="22"/>
        </w:rPr>
        <w:t xml:space="preserve">Lowercasing, so that "URGENT" and "urgent" are treated as one token.</w:t>
      </w:r>
    </w:p>
    <w:p>
      <w:pPr>
        <w:pStyle w:val="ListParagraph"/>
        <w:numPr>
          <w:ilvl w:val="0"/>
          <w:numId w:val="2"/>
        </w:numPr>
        <w:spacing w:after="80" w:line="276"/>
      </w:pPr>
      <w:r>
        <w:rPr>
          <w:sz w:val="22"/>
          <w:szCs w:val="22"/>
        </w:rPr>
        <w:t xml:space="preserve">Removal of URLs and email addresses. These are strong but brittle signals — a model that keys on specific domains will not generalise to new campaigns.</w:t>
      </w:r>
    </w:p>
    <w:p>
      <w:pPr>
        <w:pStyle w:val="ListParagraph"/>
        <w:numPr>
          <w:ilvl w:val="0"/>
          <w:numId w:val="2"/>
        </w:numPr>
        <w:spacing w:after="80" w:line="276"/>
      </w:pPr>
      <w:r>
        <w:rPr>
          <w:sz w:val="22"/>
          <w:szCs w:val="22"/>
        </w:rPr>
        <w:t xml:space="preserve">Removal of punctuation and digits, which strip account numbers, prices and formatting noise.</w:t>
      </w:r>
    </w:p>
    <w:p>
      <w:pPr>
        <w:pStyle w:val="ListParagraph"/>
        <w:numPr>
          <w:ilvl w:val="0"/>
          <w:numId w:val="2"/>
        </w:numPr>
        <w:spacing w:after="80" w:line="276"/>
      </w:pPr>
      <w:r>
        <w:rPr>
          <w:sz w:val="22"/>
          <w:szCs w:val="22"/>
        </w:rPr>
        <w:t xml:space="preserve">Whitespace normalisation.</w:t>
      </w:r>
    </w:p>
    <w:p>
      <w:pPr>
        <w:pStyle w:val="ListParagraph"/>
        <w:numPr>
          <w:ilvl w:val="0"/>
          <w:numId w:val="2"/>
        </w:numPr>
        <w:spacing w:after="80" w:line="276"/>
      </w:pPr>
      <w:r>
        <w:rPr>
          <w:sz w:val="22"/>
          <w:szCs w:val="22"/>
        </w:rPr>
        <w:t xml:space="preserve">Word tokenisation using NLTK's word_tokenize.</w:t>
      </w:r>
    </w:p>
    <w:p>
      <w:pPr>
        <w:pStyle w:val="ListParagraph"/>
        <w:numPr>
          <w:ilvl w:val="0"/>
          <w:numId w:val="2"/>
        </w:numPr>
        <w:spacing w:after="80" w:line="276"/>
      </w:pPr>
      <w:r>
        <w:rPr>
          <w:sz w:val="22"/>
          <w:szCs w:val="22"/>
        </w:rPr>
        <w:t xml:space="preserve">Removal of English stopwords and of all tokens of two characters or fewer.</w:t>
      </w:r>
    </w:p>
    <w:p>
      <w:pPr>
        <w:pStyle w:val="ListParagraph"/>
        <w:numPr>
          <w:ilvl w:val="0"/>
          <w:numId w:val="2"/>
        </w:numPr>
        <w:spacing w:after="80" w:line="276"/>
      </w:pPr>
      <w:r>
        <w:rPr>
          <w:sz w:val="22"/>
          <w:szCs w:val="22"/>
        </w:rPr>
        <w:t xml:space="preserve">Lemmatisation with WordNetLemmatizer, so that "accounts" and "account" collapse to a single form.</w:t>
      </w:r>
    </w:p>
    <w:p>
      <w:pPr>
        <w:spacing w:after="200" w:line="276"/>
      </w:pPr>
      <w:r>
        <w:rPr>
          <w:sz w:val="22"/>
          <w:szCs w:val="22"/>
        </w:rPr>
        <w:t xml:space="preserve">Processing the full 82,486 rows took 82.5 seconds. The cleaned text was saved to disk as a checkpoint so that later experiments did not have to repeat the step.</w:t>
      </w:r>
    </w:p>
    <w:p>
      <w:pPr>
        <w:pStyle w:val="Heading2"/>
        <w:spacing w:after="140" w:before="260"/>
      </w:pPr>
      <w:r>
        <w:rPr>
          <w:b/>
          <w:bCs/>
          <w:color w:val="2E4A7D"/>
          <w:sz w:val="25"/>
          <w:szCs w:val="25"/>
        </w:rPr>
        <w:t xml:space="preserve">1.4 Exploratory analysis</w:t>
      </w:r>
    </w:p>
    <w:p>
      <w:pPr>
        <w:spacing w:after="140" w:line="276"/>
      </w:pPr>
      <w:r>
        <w:rPr>
          <w:sz w:val="22"/>
          <w:szCs w:val="22"/>
        </w:rPr>
        <w:t xml:space="preserve">The fifty most frequent words in the phishing subset, after preprocessing, are shown below. The vocabulary that emerges is consistent with what the phishing literature describes: terms of account status and urgency (account, alert, please, information), financial lures (money), and generic mass-mailing vocabulary (email, company, news, offer). The single most frequent token is aug, a month abbreviation surviving from message headers — a reminder that header residue is still present in the text field.</w:t>
      </w:r>
    </w:p>
    <w:p>
      <w:pPr>
        <w:spacing w:after="60" w:before="160"/>
        <w:jc w:val="center"/>
      </w:pPr>
      <w:r>
        <w:drawing>
          <wp:inline distT="0" distB="0" distL="0" distR="0">
            <wp:extent cx="31432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771900"/>
                    </a:xfrm>
                    <a:prstGeom prst="rect">
                      <a:avLst/>
                    </a:prstGeom>
                  </pic:spPr>
                </pic:pic>
              </a:graphicData>
            </a:graphic>
          </wp:inline>
        </w:drawing>
      </w:r>
    </w:p>
    <w:p>
      <w:pPr>
        <w:spacing w:after="220"/>
        <w:jc w:val="center"/>
      </w:pPr>
      <w:r>
        <w:rPr>
          <w:i/>
          <w:iCs/>
          <w:color w:val="5A6474"/>
          <w:sz w:val="18"/>
          <w:szCs w:val="18"/>
        </w:rPr>
        <w:t xml:space="preserve">Figure 2 — The fifty most frequent words in phishing emails after preprocessing.</w:t>
      </w:r>
    </w:p>
    <w:p>
      <w:pPr>
        <w:pStyle w:val="Heading2"/>
        <w:spacing w:after="140" w:before="260"/>
      </w:pPr>
      <w:r>
        <w:rPr>
          <w:b/>
          <w:bCs/>
          <w:color w:val="2E4A7D"/>
          <w:sz w:val="25"/>
          <w:szCs w:val="25"/>
        </w:rPr>
        <w:t xml:space="preserve">1.5 A limitation worth stating</w:t>
      </w:r>
    </w:p>
    <w:p>
      <w:pPr>
        <w:spacing w:after="140" w:line="276"/>
      </w:pPr>
      <w:r>
        <w:rPr>
          <w:sz w:val="22"/>
          <w:szCs w:val="22"/>
        </w:rPr>
        <w:t xml:space="preserve">Because the dataset is assembled by merging corpora that were collected separately, class membership is correlated with source. </w:t>
      </w:r>
      <w:r>
        <w:rPr>
          <w:sz w:val="22"/>
          <w:szCs w:val="22"/>
        </w:rPr>
        <w:t xml:space="preserve">Almost all legitimate email comes from Enron and the academic mailing lists; almost all phishing comes from Nazario and the Nigerian Fraud archive. </w:t>
      </w:r>
      <w:r>
        <w:rPr>
          <w:sz w:val="22"/>
          <w:szCs w:val="22"/>
        </w:rPr>
        <w:t xml:space="preserve">A classifier can therefore score well by learning which corpus an email came from rather than what phishing actually looks like. </w:t>
      </w:r>
      <w:r>
        <w:rPr>
          <w:i/>
          <w:iCs/>
          <w:sz w:val="22"/>
          <w:szCs w:val="22"/>
        </w:rPr>
        <w:t xml:space="preserve">This is visible directly in the model coefficients reported in Section 2.5, where the strongest indicators of a legitimate email include enron, vince and louise — the names of Enron employees. </w:t>
      </w:r>
      <w:r>
        <w:rPr>
          <w:sz w:val="22"/>
          <w:szCs w:val="22"/>
        </w:rPr>
        <w:t xml:space="preserve">The scores reported in this document should accordingly be read as performance on this benchmark, not as an estimate of performance on live mail, which would very likely be lower. A stronger evaluation would hold out an entire source corpus for testing.</w:t>
      </w:r>
    </w:p>
    <w:p>
      <w:r>
        <w:br w:type="page"/>
      </w:r>
    </w:p>
    <w:p>
      <w:pPr>
        <w:pStyle w:val="Heading1"/>
        <w:spacing w:after="140" w:before="360"/>
      </w:pPr>
      <w:r>
        <w:rPr>
          <w:b/>
          <w:bCs/>
          <w:color w:val="2E4A7D"/>
          <w:sz w:val="30"/>
          <w:szCs w:val="30"/>
        </w:rPr>
        <w:t xml:space="preserve">2. Logistic Regression</w:t>
      </w:r>
    </w:p>
    <w:p>
      <w:pPr>
        <w:pStyle w:val="Heading2"/>
        <w:spacing w:after="140" w:before="260"/>
      </w:pPr>
      <w:r>
        <w:rPr>
          <w:b/>
          <w:bCs/>
          <w:color w:val="2E4A7D"/>
          <w:sz w:val="25"/>
          <w:szCs w:val="25"/>
        </w:rPr>
        <w:t xml:space="preserve">2.1 Rationale</w:t>
      </w:r>
    </w:p>
    <w:p>
      <w:pPr>
        <w:spacing w:after="140" w:line="276"/>
      </w:pPr>
      <w:r>
        <w:rPr>
          <w:sz w:val="22"/>
          <w:szCs w:val="22"/>
        </w:rPr>
        <w:t xml:space="preserve">Logistic Regression was selected as the machine learning model for three reasons. It is a well-established baseline for binary text classification and pairs naturally with sparse TF-IDF features. It is fast enough to train and cross-validate repeatedly on 66,000 documents, which makes genuine hyperparameter search practical. Most importantly it is interpretable: the model learns one weight per feature, so the terms driving any prediction can be read off directly. That property is what makes the "which words triggered this?" explanation feature of the PhishGuard application possible.</w:t>
      </w:r>
    </w:p>
    <w:p>
      <w:pPr>
        <w:pStyle w:val="Heading2"/>
        <w:spacing w:after="140" w:before="260"/>
      </w:pPr>
      <w:r>
        <w:rPr>
          <w:b/>
          <w:bCs/>
          <w:color w:val="2E4A7D"/>
          <w:sz w:val="25"/>
          <w:szCs w:val="25"/>
        </w:rPr>
        <w:t xml:space="preserve">2.2 Feature engineering</w:t>
      </w:r>
    </w:p>
    <w:p>
      <w:pPr>
        <w:spacing w:after="140" w:line="276"/>
      </w:pPr>
      <w:r>
        <w:rPr>
          <w:sz w:val="22"/>
          <w:szCs w:val="22"/>
        </w:rPr>
        <w:t xml:space="preserve">The cleaned text was converted to TF-IDF vectors with a vocabulary capped at 10,000 features, using unigrams and bigrams and requiring a minimum document frequency of two. Bigrams were included so that collocations such as "verify account" carry their own weight rather than being decomposed into two independent unigrams.</w:t>
      </w:r>
    </w:p>
    <w:p>
      <w:pPr>
        <w:spacing w:after="140" w:line="276"/>
      </w:pPr>
      <w:r>
        <w:rPr>
          <w:b/>
          <w:bCs/>
          <w:sz w:val="22"/>
          <w:szCs w:val="22"/>
        </w:rPr>
        <w:t xml:space="preserve">The dataset was split 80/20 with stratification before the vectoriser was fitted, and the vectoriser was fitted on the training portion only. </w:t>
      </w:r>
      <w:r>
        <w:rPr>
          <w:sz w:val="22"/>
          <w:szCs w:val="22"/>
        </w:rPr>
        <w:t xml:space="preserve">Fitting TF-IDF on the full dataset first is a common and easily missed error: it lets test-set vocabulary and document frequencies inform the training representation, which inflates the reported scores.</w:t>
      </w:r>
    </w:p>
    <w:p>
      <w:pPr>
        <w:pStyle w:val="Heading2"/>
        <w:spacing w:after="140" w:before="260"/>
      </w:pPr>
      <w:r>
        <w:rPr>
          <w:b/>
          <w:bCs/>
          <w:color w:val="2E4A7D"/>
          <w:sz w:val="25"/>
          <w:szCs w:val="25"/>
        </w:rPr>
        <w:t xml:space="preserve">2.3 Hyperparameter tuning</w:t>
      </w:r>
    </w:p>
    <w:p>
      <w:pPr>
        <w:spacing w:after="140" w:line="276"/>
      </w:pPr>
      <w:r>
        <w:rPr>
          <w:sz w:val="22"/>
          <w:szCs w:val="22"/>
        </w:rPr>
        <w:t xml:space="preserve">The inverse regularisation strength C was tuned with GridSearchCV over five candidate values, scored by F1 under 5-fold stratified cross-validation carried out entirely within the training set. The test set was not consulted during model selection and was evaluated once, after the final model had been fixed.</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600"/>
        <w:gridCol w:w="5900"/>
      </w:tblGrid>
      <w:tr>
        <w:trPr>
          <w:tblHeader/>
        </w:trPr>
        <w:tc>
          <w:tcPr>
            <w:tcW w:type="dxa" w:w="2600"/>
            <w:shd w:fill="2E4A7D" w:color="auto" w:val="clear"/>
            <w:tcMar>
              <w:top w:type="dxa" w:w="70"/>
              <w:left w:type="dxa" w:w="110"/>
              <w:bottom w:type="dxa" w:w="70"/>
              <w:right w:type="dxa" w:w="110"/>
            </w:tcMar>
          </w:tcPr>
          <w:p>
            <w:pPr>
              <w:spacing w:after="0"/>
              <w:jc w:val="left"/>
            </w:pPr>
            <w:r>
              <w:rPr>
                <w:b/>
                <w:bCs/>
                <w:color w:val="FFFFFF"/>
                <w:sz w:val="20"/>
                <w:szCs w:val="20"/>
              </w:rPr>
              <w:t xml:space="preserve">C</w:t>
            </w:r>
          </w:p>
        </w:tc>
        <w:tc>
          <w:tcPr>
            <w:tcW w:type="dxa" w:w="5900"/>
            <w:shd w:fill="2E4A7D" w:color="auto" w:val="clear"/>
            <w:tcMar>
              <w:top w:type="dxa" w:w="70"/>
              <w:left w:type="dxa" w:w="110"/>
              <w:bottom w:type="dxa" w:w="70"/>
              <w:right w:type="dxa" w:w="110"/>
            </w:tcMar>
          </w:tcPr>
          <w:p>
            <w:pPr>
              <w:spacing w:after="0"/>
              <w:jc w:val="center"/>
            </w:pPr>
            <w:r>
              <w:rPr>
                <w:b/>
                <w:bCs/>
                <w:color w:val="FFFFFF"/>
                <w:sz w:val="20"/>
                <w:szCs w:val="20"/>
              </w:rPr>
              <w:t xml:space="preserve">Cross-validated F1 (training folds)</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0.01</w:t>
            </w:r>
          </w:p>
        </w:tc>
        <w:tc>
          <w:tcPr>
            <w:tcW w:type="dxa" w:w="5900"/>
            <w:tcMar>
              <w:top w:type="dxa" w:w="70"/>
              <w:left w:type="dxa" w:w="110"/>
              <w:bottom w:type="dxa" w:w="70"/>
              <w:right w:type="dxa" w:w="110"/>
            </w:tcMar>
          </w:tcPr>
          <w:p>
            <w:pPr>
              <w:spacing w:after="0"/>
              <w:jc w:val="center"/>
            </w:pPr>
            <w:r>
              <w:rPr>
                <w:b w:val="false"/>
                <w:bCs w:val="false"/>
                <w:sz w:val="20"/>
                <w:szCs w:val="20"/>
              </w:rPr>
              <w:t xml:space="preserve">0.9568 ± 0.0016</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0.1</w:t>
            </w:r>
          </w:p>
        </w:tc>
        <w:tc>
          <w:tcPr>
            <w:tcW w:type="dxa" w:w="5900"/>
            <w:shd w:fill="F2F4F8" w:color="auto" w:val="clear"/>
            <w:tcMar>
              <w:top w:type="dxa" w:w="70"/>
              <w:left w:type="dxa" w:w="110"/>
              <w:bottom w:type="dxa" w:w="70"/>
              <w:right w:type="dxa" w:w="110"/>
            </w:tcMar>
          </w:tcPr>
          <w:p>
            <w:pPr>
              <w:spacing w:after="0"/>
              <w:jc w:val="center"/>
            </w:pPr>
            <w:r>
              <w:rPr>
                <w:b w:val="false"/>
                <w:bCs w:val="false"/>
                <w:sz w:val="20"/>
                <w:szCs w:val="20"/>
              </w:rPr>
              <w:t xml:space="preserve">0.9721 ± 0.0011</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1.0</w:t>
            </w:r>
          </w:p>
        </w:tc>
        <w:tc>
          <w:tcPr>
            <w:tcW w:type="dxa" w:w="5900"/>
            <w:tcMar>
              <w:top w:type="dxa" w:w="70"/>
              <w:left w:type="dxa" w:w="110"/>
              <w:bottom w:type="dxa" w:w="70"/>
              <w:right w:type="dxa" w:w="110"/>
            </w:tcMar>
          </w:tcPr>
          <w:p>
            <w:pPr>
              <w:spacing w:after="0"/>
              <w:jc w:val="center"/>
            </w:pPr>
            <w:r>
              <w:rPr>
                <w:b w:val="false"/>
                <w:bCs w:val="false"/>
                <w:sz w:val="20"/>
                <w:szCs w:val="20"/>
              </w:rPr>
              <w:t xml:space="preserve">0.9825 ± 0.0015</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10.0  (selected)</w:t>
            </w:r>
          </w:p>
        </w:tc>
        <w:tc>
          <w:tcPr>
            <w:tcW w:type="dxa" w:w="5900"/>
            <w:shd w:fill="F2F4F8" w:color="auto" w:val="clear"/>
            <w:tcMar>
              <w:top w:type="dxa" w:w="70"/>
              <w:left w:type="dxa" w:w="110"/>
              <w:bottom w:type="dxa" w:w="70"/>
              <w:right w:type="dxa" w:w="110"/>
            </w:tcMar>
          </w:tcPr>
          <w:p>
            <w:pPr>
              <w:spacing w:after="0"/>
              <w:jc w:val="center"/>
            </w:pPr>
            <w:r>
              <w:rPr>
                <w:b w:val="false"/>
                <w:bCs w:val="false"/>
                <w:sz w:val="20"/>
                <w:szCs w:val="20"/>
              </w:rPr>
              <w:t xml:space="preserve">0.9850 ± 0.0010</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100.0</w:t>
            </w:r>
          </w:p>
        </w:tc>
        <w:tc>
          <w:tcPr>
            <w:tcW w:type="dxa" w:w="5900"/>
            <w:tcMar>
              <w:top w:type="dxa" w:w="70"/>
              <w:left w:type="dxa" w:w="110"/>
              <w:bottom w:type="dxa" w:w="70"/>
              <w:right w:type="dxa" w:w="110"/>
            </w:tcMar>
          </w:tcPr>
          <w:p>
            <w:pPr>
              <w:spacing w:after="0"/>
              <w:jc w:val="center"/>
            </w:pPr>
            <w:r>
              <w:rPr>
                <w:b w:val="false"/>
                <w:bCs w:val="false"/>
                <w:sz w:val="20"/>
                <w:szCs w:val="20"/>
              </w:rPr>
              <w:t xml:space="preserve">0.9842 ± 0.0014</w:t>
            </w:r>
          </w:p>
        </w:tc>
      </w:tr>
    </w:tbl>
    <w:p>
      <w:pPr>
        <w:spacing w:after="140" w:line="276"/>
      </w:pPr>
      <w:r>
        <w:rPr>
          <w:sz w:val="22"/>
          <w:szCs w:val="22"/>
        </w:rPr>
        <w:t xml:space="preserve">C = 10.0 was selected. Re-running 10-fold cross-validation on the training set with this value gave a mean F1 of 0.9832 with a standard deviation of 0.0023. The closeness of this figure to the 0.9859 eventually observed on the held-out test set indicates the model is not overfitting the training data. Class weighting was set to balanced.</w:t>
      </w:r>
    </w:p>
    <w:p>
      <w:pPr>
        <w:pStyle w:val="Heading2"/>
        <w:spacing w:after="140" w:before="260"/>
      </w:pPr>
      <w:r>
        <w:rPr>
          <w:b/>
          <w:bCs/>
          <w:color w:val="2E4A7D"/>
          <w:sz w:val="25"/>
          <w:szCs w:val="25"/>
        </w:rPr>
        <w:t xml:space="preserve">2.4 Results</w:t>
      </w:r>
    </w:p>
    <w:p>
      <w:pPr>
        <w:spacing w:after="140" w:line="276"/>
      </w:pPr>
      <w:r>
        <w:rPr>
          <w:sz w:val="22"/>
          <w:szCs w:val="22"/>
        </w:rPr>
        <w:t xml:space="preserve">An untuned baseline with default settings reached an F1 of 0.9833. The tuned model improved on this modestly, as shown below.</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600"/>
        <w:gridCol w:w="2950"/>
        <w:gridCol w:w="2950"/>
      </w:tblGrid>
      <w:tr>
        <w:trPr>
          <w:tblHeader/>
        </w:trPr>
        <w:tc>
          <w:tcPr>
            <w:tcW w:type="dxa" w:w="2600"/>
            <w:shd w:fill="2E4A7D" w:color="auto" w:val="clear"/>
            <w:tcMar>
              <w:top w:type="dxa" w:w="70"/>
              <w:left w:type="dxa" w:w="110"/>
              <w:bottom w:type="dxa" w:w="70"/>
              <w:right w:type="dxa" w:w="110"/>
            </w:tcMar>
          </w:tcPr>
          <w:p>
            <w:pPr>
              <w:spacing w:after="0"/>
              <w:jc w:val="left"/>
            </w:pPr>
            <w:r>
              <w:rPr>
                <w:b/>
                <w:bCs/>
                <w:color w:val="FFFFFF"/>
                <w:sz w:val="20"/>
                <w:szCs w:val="20"/>
              </w:rPr>
              <w:t xml:space="preserve">Metric</w:t>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Baseline (C = 1.0)</w:t>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Tuned (C = 10.0)</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Accuracy</w:t>
            </w:r>
          </w:p>
        </w:tc>
        <w:tc>
          <w:tcPr>
            <w:tcW w:type="dxa" w:w="2950"/>
            <w:tcMar>
              <w:top w:type="dxa" w:w="70"/>
              <w:left w:type="dxa" w:w="110"/>
              <w:bottom w:type="dxa" w:w="70"/>
              <w:right w:type="dxa" w:w="110"/>
            </w:tcMar>
          </w:tcPr>
          <w:p>
            <w:pPr>
              <w:spacing w:after="0"/>
              <w:jc w:val="center"/>
            </w:pPr>
            <w:r>
              <w:rPr>
                <w:b w:val="false"/>
                <w:bCs w:val="false"/>
                <w:sz w:val="20"/>
                <w:szCs w:val="20"/>
              </w:rPr>
              <w:t xml:space="preserve">0.9826</w:t>
            </w:r>
          </w:p>
        </w:tc>
        <w:tc>
          <w:tcPr>
            <w:tcW w:type="dxa" w:w="2950"/>
            <w:tcMar>
              <w:top w:type="dxa" w:w="70"/>
              <w:left w:type="dxa" w:w="110"/>
              <w:bottom w:type="dxa" w:w="70"/>
              <w:right w:type="dxa" w:w="110"/>
            </w:tcMar>
          </w:tcPr>
          <w:p>
            <w:pPr>
              <w:spacing w:after="0"/>
              <w:jc w:val="center"/>
            </w:pPr>
            <w:r>
              <w:rPr>
                <w:b w:val="false"/>
                <w:bCs w:val="false"/>
                <w:sz w:val="20"/>
                <w:szCs w:val="20"/>
              </w:rPr>
              <w:t xml:space="preserve">0.9853</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Precision</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0.9811</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0.9857</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Recall</w:t>
            </w:r>
          </w:p>
        </w:tc>
        <w:tc>
          <w:tcPr>
            <w:tcW w:type="dxa" w:w="2950"/>
            <w:tcMar>
              <w:top w:type="dxa" w:w="70"/>
              <w:left w:type="dxa" w:w="110"/>
              <w:bottom w:type="dxa" w:w="70"/>
              <w:right w:type="dxa" w:w="110"/>
            </w:tcMar>
          </w:tcPr>
          <w:p>
            <w:pPr>
              <w:spacing w:after="0"/>
              <w:jc w:val="center"/>
            </w:pPr>
            <w:r>
              <w:rPr>
                <w:b w:val="false"/>
                <w:bCs w:val="false"/>
                <w:sz w:val="20"/>
                <w:szCs w:val="20"/>
              </w:rPr>
              <w:t xml:space="preserve">0.9855</w:t>
            </w:r>
          </w:p>
        </w:tc>
        <w:tc>
          <w:tcPr>
            <w:tcW w:type="dxa" w:w="2950"/>
            <w:tcMar>
              <w:top w:type="dxa" w:w="70"/>
              <w:left w:type="dxa" w:w="110"/>
              <w:bottom w:type="dxa" w:w="70"/>
              <w:right w:type="dxa" w:w="110"/>
            </w:tcMar>
          </w:tcPr>
          <w:p>
            <w:pPr>
              <w:spacing w:after="0"/>
              <w:jc w:val="center"/>
            </w:pPr>
            <w:r>
              <w:rPr>
                <w:b w:val="false"/>
                <w:bCs w:val="false"/>
                <w:sz w:val="20"/>
                <w:szCs w:val="20"/>
              </w:rPr>
              <w:t xml:space="preserve">0.9861</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F1-score</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0.9833</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0.9859</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ROC-AUC</w:t>
            </w:r>
          </w:p>
        </w:tc>
        <w:tc>
          <w:tcPr>
            <w:tcW w:type="dxa" w:w="2950"/>
            <w:tcMar>
              <w:top w:type="dxa" w:w="70"/>
              <w:left w:type="dxa" w:w="110"/>
              <w:bottom w:type="dxa" w:w="70"/>
              <w:right w:type="dxa" w:w="110"/>
            </w:tcMar>
          </w:tcPr>
          <w:p>
            <w:pPr>
              <w:spacing w:after="0"/>
              <w:jc w:val="center"/>
            </w:pPr>
            <w:r>
              <w:rPr>
                <w:b w:val="false"/>
                <w:bCs w:val="false"/>
                <w:sz w:val="20"/>
                <w:szCs w:val="20"/>
              </w:rPr>
              <w:t xml:space="preserve">—</w:t>
            </w:r>
          </w:p>
        </w:tc>
        <w:tc>
          <w:tcPr>
            <w:tcW w:type="dxa" w:w="2950"/>
            <w:tcMar>
              <w:top w:type="dxa" w:w="70"/>
              <w:left w:type="dxa" w:w="110"/>
              <w:bottom w:type="dxa" w:w="70"/>
              <w:right w:type="dxa" w:w="110"/>
            </w:tcMar>
          </w:tcPr>
          <w:p>
            <w:pPr>
              <w:spacing w:after="0"/>
              <w:jc w:val="center"/>
            </w:pPr>
            <w:r>
              <w:rPr>
                <w:b w:val="false"/>
                <w:bCs w:val="false"/>
                <w:sz w:val="20"/>
                <w:szCs w:val="20"/>
              </w:rPr>
              <w:t xml:space="preserve">0.9986</w:t>
            </w:r>
          </w:p>
        </w:tc>
      </w:tr>
    </w:tbl>
    <w:p>
      <w:pPr>
        <w:spacing w:after="140" w:line="276"/>
      </w:pPr>
      <w:r>
        <w:rPr>
          <w:sz w:val="22"/>
          <w:szCs w:val="22"/>
        </w:rPr>
        <w:t xml:space="preserve">On the 16,497-email test set the tuned model made 242 errors in total: 123 legitimate emails wrongly flagged as phishing, and 119 phishing emails that were not caught.</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600"/>
        <w:gridCol w:w="2950"/>
        <w:gridCol w:w="2950"/>
      </w:tblGrid>
      <w:tr>
        <w:trPr>
          <w:tblHeader/>
        </w:trPr>
        <w:tc>
          <w:tcPr>
            <w:tcW w:type="dxa" w:w="2600"/>
            <w:shd w:fill="2E4A7D" w:color="auto" w:val="clear"/>
            <w:tcMar>
              <w:top w:type="dxa" w:w="70"/>
              <w:left w:type="dxa" w:w="110"/>
              <w:bottom w:type="dxa" w:w="70"/>
              <w:right w:type="dxa" w:w="110"/>
            </w:tcMar>
          </w:tcPr>
          <w:p>
            <w:pPr>
              <w:spacing w:after="0"/>
              <w:jc w:val="left"/>
            </w:pPr>
            <w:r>
              <w:rPr>
                <w:b/>
                <w:bCs/>
                <w:color w:val="FFFFFF"/>
                <w:sz w:val="20"/>
                <w:szCs w:val="20"/>
              </w:rPr>
              <w:t xml:space="preserve"/>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Predicted Legitimate</w:t>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Predicted Phishing</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Actual Legitimate</w:t>
            </w:r>
          </w:p>
        </w:tc>
        <w:tc>
          <w:tcPr>
            <w:tcW w:type="dxa" w:w="2950"/>
            <w:tcMar>
              <w:top w:type="dxa" w:w="70"/>
              <w:left w:type="dxa" w:w="110"/>
              <w:bottom w:type="dxa" w:w="70"/>
              <w:right w:type="dxa" w:w="110"/>
            </w:tcMar>
          </w:tcPr>
          <w:p>
            <w:pPr>
              <w:spacing w:after="0"/>
              <w:jc w:val="center"/>
            </w:pPr>
            <w:r>
              <w:rPr>
                <w:b w:val="false"/>
                <w:bCs w:val="false"/>
                <w:sz w:val="20"/>
                <w:szCs w:val="20"/>
              </w:rPr>
              <w:t xml:space="preserve">7,796</w:t>
            </w:r>
          </w:p>
        </w:tc>
        <w:tc>
          <w:tcPr>
            <w:tcW w:type="dxa" w:w="2950"/>
            <w:tcMar>
              <w:top w:type="dxa" w:w="70"/>
              <w:left w:type="dxa" w:w="110"/>
              <w:bottom w:type="dxa" w:w="70"/>
              <w:right w:type="dxa" w:w="110"/>
            </w:tcMar>
          </w:tcPr>
          <w:p>
            <w:pPr>
              <w:spacing w:after="0"/>
              <w:jc w:val="center"/>
            </w:pPr>
            <w:r>
              <w:rPr>
                <w:b w:val="false"/>
                <w:bCs w:val="false"/>
                <w:sz w:val="20"/>
                <w:szCs w:val="20"/>
              </w:rPr>
              <w:t xml:space="preserve">123</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Actual Phishing</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119</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8,459</w:t>
            </w:r>
          </w:p>
        </w:tc>
      </w:tr>
    </w:tbl>
    <w:p>
      <w:pPr>
        <w:spacing w:after="60" w:before="16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781300"/>
                    </a:xfrm>
                    <a:prstGeom prst="rect">
                      <a:avLst/>
                    </a:prstGeom>
                  </pic:spPr>
                </pic:pic>
              </a:graphicData>
            </a:graphic>
          </wp:inline>
        </w:drawing>
      </w:r>
    </w:p>
    <w:p>
      <w:pPr>
        <w:spacing w:after="220"/>
        <w:jc w:val="center"/>
      </w:pPr>
      <w:r>
        <w:rPr>
          <w:i/>
          <w:iCs/>
          <w:color w:val="5A6474"/>
          <w:sz w:val="18"/>
          <w:szCs w:val="18"/>
        </w:rPr>
        <w:t xml:space="preserve">Figure 3 — Logistic Regression ROC curve (AUC = 0.9986).</w:t>
      </w:r>
    </w:p>
    <w:p>
      <w:pPr>
        <w:pStyle w:val="Heading2"/>
        <w:spacing w:after="140" w:before="260"/>
      </w:pPr>
      <w:r>
        <w:rPr>
          <w:b/>
          <w:bCs/>
          <w:color w:val="2E4A7D"/>
          <w:sz w:val="25"/>
          <w:szCs w:val="25"/>
        </w:rPr>
        <w:t xml:space="preserve">2.5 Interpretability</w:t>
      </w:r>
    </w:p>
    <w:p>
      <w:pPr>
        <w:spacing w:after="140" w:line="276"/>
      </w:pPr>
      <w:r>
        <w:rPr>
          <w:sz w:val="22"/>
          <w:szCs w:val="22"/>
        </w:rPr>
        <w:t xml:space="preserve">Inspecting the learned coefficients gives a direct account of what the model has learned. The features pushing most strongly toward a phishing prediction are:</w:t>
      </w:r>
    </w:p>
    <w:p>
      <w:pPr>
        <w:spacing w:after="140" w:line="276"/>
      </w:pPr>
      <w:r>
        <w:rPr>
          <w:i/>
          <w:iCs/>
          <w:sz w:val="22"/>
          <w:szCs w:val="22"/>
        </w:rPr>
        <w:t xml:space="preserve">replica, http, remove, pill, medication, med, love, click, site, account, quality, viagra, life, money, investment</w:t>
      </w:r>
    </w:p>
    <w:p>
      <w:pPr>
        <w:spacing w:after="140" w:line="276"/>
      </w:pPr>
      <w:r>
        <w:rPr>
          <w:sz w:val="22"/>
          <w:szCs w:val="22"/>
        </w:rPr>
        <w:t xml:space="preserve">and those pushing toward legitimate:</w:t>
      </w:r>
    </w:p>
    <w:p>
      <w:pPr>
        <w:spacing w:after="140" w:line="276"/>
      </w:pPr>
      <w:r>
        <w:rPr>
          <w:i/>
          <w:iCs/>
          <w:sz w:val="22"/>
          <w:szCs w:val="22"/>
        </w:rPr>
        <w:t xml:space="preserve">enron, wrote, thanks, university, vince, louise, opensuse, tony, perl, question, python</w:t>
      </w:r>
    </w:p>
    <w:p>
      <w:pPr>
        <w:spacing w:after="140" w:line="276"/>
      </w:pPr>
      <w:r>
        <w:rPr>
          <w:sz w:val="22"/>
          <w:szCs w:val="22"/>
        </w:rPr>
        <w:t xml:space="preserve">The first list is broadly what one would hope for — pharmaceutical spam vocabulary, financial lures and calls to action. The second list is more revealing, and is the concrete evidence behind the limitation described in Section 1.5: enron, vince and louise are artefacts of the Enron corpus, not general properties of legitimate email.</w:t>
      </w:r>
    </w:p>
    <w:p>
      <w:r>
        <w:br w:type="page"/>
      </w:r>
    </w:p>
    <w:p>
      <w:pPr>
        <w:pStyle w:val="Heading1"/>
        <w:spacing w:after="140" w:before="360"/>
      </w:pPr>
      <w:r>
        <w:rPr>
          <w:b/>
          <w:bCs/>
          <w:color w:val="2E4A7D"/>
          <w:sz w:val="30"/>
          <w:szCs w:val="30"/>
        </w:rPr>
        <w:t xml:space="preserve">3. GRU</w:t>
      </w:r>
    </w:p>
    <w:p>
      <w:pPr>
        <w:pStyle w:val="Heading2"/>
        <w:spacing w:after="140" w:before="260"/>
      </w:pPr>
      <w:r>
        <w:rPr>
          <w:b/>
          <w:bCs/>
          <w:color w:val="2E4A7D"/>
          <w:sz w:val="25"/>
          <w:szCs w:val="25"/>
        </w:rPr>
        <w:t xml:space="preserve">3.1 Rationale</w:t>
      </w:r>
    </w:p>
    <w:p>
      <w:pPr>
        <w:spacing w:after="140" w:line="276"/>
      </w:pPr>
      <w:r>
        <w:rPr>
          <w:sz w:val="22"/>
          <w:szCs w:val="22"/>
        </w:rPr>
        <w:t xml:space="preserve">A Gated Recurrent Unit network was chosen as the deep learning model. A GRU is a recurrent architecture that processes text one token at a time while maintaining a hidden state, using an update gate and a reset gate to control how much earlier context is retained. This addresses the principal weakness of the TF-IDF representation used in Section 2, which discards word order entirely: a GRU can in principle represent "your account will be suspended" as a phrase rather than as four independent tokens.</w:t>
      </w:r>
    </w:p>
    <w:p>
      <w:pPr>
        <w:spacing w:after="140" w:line="276"/>
      </w:pPr>
      <w:r>
        <w:rPr>
          <w:sz w:val="22"/>
          <w:szCs w:val="22"/>
        </w:rPr>
        <w:t xml:space="preserve">A GRU was preferred over an LSTM because it achieves comparable accuracy on medium-sized text datasets with two gates instead of three, and therefore fewer parameters and shorter training time. Over 66,000 training sequences of 200 tokens, that saving is material.</w:t>
      </w:r>
    </w:p>
    <w:p>
      <w:pPr>
        <w:pStyle w:val="Heading2"/>
        <w:spacing w:after="140" w:before="260"/>
      </w:pPr>
      <w:r>
        <w:rPr>
          <w:b/>
          <w:bCs/>
          <w:color w:val="2E4A7D"/>
          <w:sz w:val="25"/>
          <w:szCs w:val="25"/>
        </w:rPr>
        <w:t xml:space="preserve">3.2 Input representation</w:t>
      </w:r>
    </w:p>
    <w:p>
      <w:pPr>
        <w:spacing w:after="140" w:line="276"/>
      </w:pPr>
      <w:r>
        <w:rPr>
          <w:sz w:val="22"/>
          <w:szCs w:val="22"/>
        </w:rPr>
        <w:t xml:space="preserve">The GRU cannot consume TF-IDF vectors, so a separate representation was built. A Keras tokenizer with a 20,000-word vocabulary and an out-of-vocabulary token was fitted on the training text only — the same discipline applied to the TF-IDF vectoriser, and for the same reason. Each email was converted to a sequence of integer indices and padded or truncated to exactly 200 tokens. As noted in Section 1.2, this truncates roughly one email in six.</w:t>
      </w:r>
    </w:p>
    <w:p>
      <w:pPr>
        <w:pStyle w:val="Heading2"/>
        <w:spacing w:after="140" w:before="260"/>
      </w:pPr>
      <w:r>
        <w:rPr>
          <w:b/>
          <w:bCs/>
          <w:color w:val="2E4A7D"/>
          <w:sz w:val="25"/>
          <w:szCs w:val="25"/>
        </w:rPr>
        <w:t xml:space="preserve">3.3 Architecture</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3400"/>
        <w:gridCol w:w="2550"/>
        <w:gridCol w:w="2550"/>
      </w:tblGrid>
      <w:tr>
        <w:trPr>
          <w:tblHeader/>
        </w:trPr>
        <w:tc>
          <w:tcPr>
            <w:tcW w:type="dxa" w:w="3400"/>
            <w:shd w:fill="2E4A7D" w:color="auto" w:val="clear"/>
            <w:tcMar>
              <w:top w:type="dxa" w:w="70"/>
              <w:left w:type="dxa" w:w="110"/>
              <w:bottom w:type="dxa" w:w="70"/>
              <w:right w:type="dxa" w:w="110"/>
            </w:tcMar>
          </w:tcPr>
          <w:p>
            <w:pPr>
              <w:spacing w:after="0"/>
              <w:jc w:val="left"/>
            </w:pPr>
            <w:r>
              <w:rPr>
                <w:b/>
                <w:bCs/>
                <w:color w:val="FFFFFF"/>
                <w:sz w:val="20"/>
                <w:szCs w:val="20"/>
              </w:rPr>
              <w:t xml:space="preserve">Layer</w:t>
            </w:r>
          </w:p>
        </w:tc>
        <w:tc>
          <w:tcPr>
            <w:tcW w:type="dxa" w:w="2550"/>
            <w:shd w:fill="2E4A7D" w:color="auto" w:val="clear"/>
            <w:tcMar>
              <w:top w:type="dxa" w:w="70"/>
              <w:left w:type="dxa" w:w="110"/>
              <w:bottom w:type="dxa" w:w="70"/>
              <w:right w:type="dxa" w:w="110"/>
            </w:tcMar>
          </w:tcPr>
          <w:p>
            <w:pPr>
              <w:spacing w:after="0"/>
              <w:jc w:val="center"/>
            </w:pPr>
            <w:r>
              <w:rPr>
                <w:b/>
                <w:bCs/>
                <w:color w:val="FFFFFF"/>
                <w:sz w:val="20"/>
                <w:szCs w:val="20"/>
              </w:rPr>
              <w:t xml:space="preserve">Output shape</w:t>
            </w:r>
          </w:p>
        </w:tc>
        <w:tc>
          <w:tcPr>
            <w:tcW w:type="dxa" w:w="2550"/>
            <w:shd w:fill="2E4A7D" w:color="auto" w:val="clear"/>
            <w:tcMar>
              <w:top w:type="dxa" w:w="70"/>
              <w:left w:type="dxa" w:w="110"/>
              <w:bottom w:type="dxa" w:w="70"/>
              <w:right w:type="dxa" w:w="110"/>
            </w:tcMar>
          </w:tcPr>
          <w:p>
            <w:pPr>
              <w:spacing w:after="0"/>
              <w:jc w:val="center"/>
            </w:pPr>
            <w:r>
              <w:rPr>
                <w:b/>
                <w:bCs/>
                <w:color w:val="FFFFFF"/>
                <w:sz w:val="20"/>
                <w:szCs w:val="20"/>
              </w:rPr>
              <w:t xml:space="preserve">Parameters</w:t>
            </w:r>
          </w:p>
        </w:tc>
      </w:tr>
      <w:tr>
        <w:trPr>
          <w:tblHeader w:val="false"/>
        </w:trPr>
        <w:tc>
          <w:tcPr>
            <w:tcW w:type="dxa" w:w="3400"/>
            <w:tcMar>
              <w:top w:type="dxa" w:w="70"/>
              <w:left w:type="dxa" w:w="110"/>
              <w:bottom w:type="dxa" w:w="70"/>
              <w:right w:type="dxa" w:w="110"/>
            </w:tcMar>
          </w:tcPr>
          <w:p>
            <w:pPr>
              <w:spacing w:after="0"/>
              <w:jc w:val="left"/>
            </w:pPr>
            <w:r>
              <w:rPr>
                <w:b/>
                <w:bCs/>
                <w:sz w:val="20"/>
                <w:szCs w:val="20"/>
              </w:rPr>
              <w:t xml:space="preserve">Input</w:t>
            </w:r>
          </w:p>
        </w:tc>
        <w:tc>
          <w:tcPr>
            <w:tcW w:type="dxa" w:w="2550"/>
            <w:tcMar>
              <w:top w:type="dxa" w:w="70"/>
              <w:left w:type="dxa" w:w="110"/>
              <w:bottom w:type="dxa" w:w="70"/>
              <w:right w:type="dxa" w:w="110"/>
            </w:tcMar>
          </w:tcPr>
          <w:p>
            <w:pPr>
              <w:spacing w:after="0"/>
              <w:jc w:val="center"/>
            </w:pPr>
            <w:r>
              <w:rPr>
                <w:b w:val="false"/>
                <w:bCs w:val="false"/>
                <w:sz w:val="20"/>
                <w:szCs w:val="20"/>
              </w:rPr>
              <w:t xml:space="preserve">(200)</w:t>
            </w:r>
          </w:p>
        </w:tc>
        <w:tc>
          <w:tcPr>
            <w:tcW w:type="dxa" w:w="2550"/>
            <w:tcMar>
              <w:top w:type="dxa" w:w="70"/>
              <w:left w:type="dxa" w:w="110"/>
              <w:bottom w:type="dxa" w:w="70"/>
              <w:right w:type="dxa" w:w="110"/>
            </w:tcMar>
          </w:tcPr>
          <w:p>
            <w:pPr>
              <w:spacing w:after="0"/>
              <w:jc w:val="center"/>
            </w:pPr>
            <w:r>
              <w:rPr>
                <w:b w:val="false"/>
                <w:bCs w:val="false"/>
                <w:sz w:val="20"/>
                <w:szCs w:val="20"/>
              </w:rPr>
              <w:t xml:space="preserve">0</w:t>
            </w:r>
          </w:p>
        </w:tc>
      </w:tr>
      <w:tr>
        <w:trPr>
          <w:tblHeader w:val="false"/>
        </w:trPr>
        <w:tc>
          <w:tcPr>
            <w:tcW w:type="dxa" w:w="3400"/>
            <w:shd w:fill="F2F4F8" w:color="auto" w:val="clear"/>
            <w:tcMar>
              <w:top w:type="dxa" w:w="70"/>
              <w:left w:type="dxa" w:w="110"/>
              <w:bottom w:type="dxa" w:w="70"/>
              <w:right w:type="dxa" w:w="110"/>
            </w:tcMar>
          </w:tcPr>
          <w:p>
            <w:pPr>
              <w:spacing w:after="0"/>
              <w:jc w:val="left"/>
            </w:pPr>
            <w:r>
              <w:rPr>
                <w:b/>
                <w:bCs/>
                <w:sz w:val="20"/>
                <w:szCs w:val="20"/>
              </w:rPr>
              <w:t xml:space="preserve">Embedding (20,000 × 128)</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(200, 128)</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2,560,000</w:t>
            </w:r>
          </w:p>
        </w:tc>
      </w:tr>
      <w:tr>
        <w:trPr>
          <w:tblHeader w:val="false"/>
        </w:trPr>
        <w:tc>
          <w:tcPr>
            <w:tcW w:type="dxa" w:w="3400"/>
            <w:tcMar>
              <w:top w:type="dxa" w:w="70"/>
              <w:left w:type="dxa" w:w="110"/>
              <w:bottom w:type="dxa" w:w="70"/>
              <w:right w:type="dxa" w:w="110"/>
            </w:tcMar>
          </w:tcPr>
          <w:p>
            <w:pPr>
              <w:spacing w:after="0"/>
              <w:jc w:val="left"/>
            </w:pPr>
            <w:r>
              <w:rPr>
                <w:b/>
                <w:bCs/>
                <w:sz w:val="20"/>
                <w:szCs w:val="20"/>
              </w:rPr>
              <w:t xml:space="preserve">GRU (128 units)</w:t>
            </w:r>
          </w:p>
        </w:tc>
        <w:tc>
          <w:tcPr>
            <w:tcW w:type="dxa" w:w="2550"/>
            <w:tcMar>
              <w:top w:type="dxa" w:w="70"/>
              <w:left w:type="dxa" w:w="110"/>
              <w:bottom w:type="dxa" w:w="70"/>
              <w:right w:type="dxa" w:w="110"/>
            </w:tcMar>
          </w:tcPr>
          <w:p>
            <w:pPr>
              <w:spacing w:after="0"/>
              <w:jc w:val="center"/>
            </w:pPr>
            <w:r>
              <w:rPr>
                <w:b w:val="false"/>
                <w:bCs w:val="false"/>
                <w:sz w:val="20"/>
                <w:szCs w:val="20"/>
              </w:rPr>
              <w:t xml:space="preserve">(128)</w:t>
            </w:r>
          </w:p>
        </w:tc>
        <w:tc>
          <w:tcPr>
            <w:tcW w:type="dxa" w:w="2550"/>
            <w:tcMar>
              <w:top w:type="dxa" w:w="70"/>
              <w:left w:type="dxa" w:w="110"/>
              <w:bottom w:type="dxa" w:w="70"/>
              <w:right w:type="dxa" w:w="110"/>
            </w:tcMar>
          </w:tcPr>
          <w:p>
            <w:pPr>
              <w:spacing w:after="0"/>
              <w:jc w:val="center"/>
            </w:pPr>
            <w:r>
              <w:rPr>
                <w:b w:val="false"/>
                <w:bCs w:val="false"/>
                <w:sz w:val="20"/>
                <w:szCs w:val="20"/>
              </w:rPr>
              <w:t xml:space="preserve">99,072</w:t>
            </w:r>
          </w:p>
        </w:tc>
      </w:tr>
      <w:tr>
        <w:trPr>
          <w:tblHeader w:val="false"/>
        </w:trPr>
        <w:tc>
          <w:tcPr>
            <w:tcW w:type="dxa" w:w="3400"/>
            <w:shd w:fill="F2F4F8" w:color="auto" w:val="clear"/>
            <w:tcMar>
              <w:top w:type="dxa" w:w="70"/>
              <w:left w:type="dxa" w:w="110"/>
              <w:bottom w:type="dxa" w:w="70"/>
              <w:right w:type="dxa" w:w="110"/>
            </w:tcMar>
          </w:tcPr>
          <w:p>
            <w:pPr>
              <w:spacing w:after="0"/>
              <w:jc w:val="left"/>
            </w:pPr>
            <w:r>
              <w:rPr>
                <w:b/>
                <w:bCs/>
                <w:sz w:val="20"/>
                <w:szCs w:val="20"/>
              </w:rPr>
              <w:t xml:space="preserve">Dropout (0.3)</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(128)</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0</w:t>
            </w:r>
          </w:p>
        </w:tc>
      </w:tr>
      <w:tr>
        <w:trPr>
          <w:tblHeader w:val="false"/>
        </w:trPr>
        <w:tc>
          <w:tcPr>
            <w:tcW w:type="dxa" w:w="3400"/>
            <w:tcMar>
              <w:top w:type="dxa" w:w="70"/>
              <w:left w:type="dxa" w:w="110"/>
              <w:bottom w:type="dxa" w:w="70"/>
              <w:right w:type="dxa" w:w="110"/>
            </w:tcMar>
          </w:tcPr>
          <w:p>
            <w:pPr>
              <w:spacing w:after="0"/>
              <w:jc w:val="left"/>
            </w:pPr>
            <w:r>
              <w:rPr>
                <w:b/>
                <w:bCs/>
                <w:sz w:val="20"/>
                <w:szCs w:val="20"/>
              </w:rPr>
              <w:t xml:space="preserve">Dense (64, ReLU)</w:t>
            </w:r>
          </w:p>
        </w:tc>
        <w:tc>
          <w:tcPr>
            <w:tcW w:type="dxa" w:w="2550"/>
            <w:tcMar>
              <w:top w:type="dxa" w:w="70"/>
              <w:left w:type="dxa" w:w="110"/>
              <w:bottom w:type="dxa" w:w="70"/>
              <w:right w:type="dxa" w:w="110"/>
            </w:tcMar>
          </w:tcPr>
          <w:p>
            <w:pPr>
              <w:spacing w:after="0"/>
              <w:jc w:val="center"/>
            </w:pPr>
            <w:r>
              <w:rPr>
                <w:b w:val="false"/>
                <w:bCs w:val="false"/>
                <w:sz w:val="20"/>
                <w:szCs w:val="20"/>
              </w:rPr>
              <w:t xml:space="preserve">(64)</w:t>
            </w:r>
          </w:p>
        </w:tc>
        <w:tc>
          <w:tcPr>
            <w:tcW w:type="dxa" w:w="2550"/>
            <w:tcMar>
              <w:top w:type="dxa" w:w="70"/>
              <w:left w:type="dxa" w:w="110"/>
              <w:bottom w:type="dxa" w:w="70"/>
              <w:right w:type="dxa" w:w="110"/>
            </w:tcMar>
          </w:tcPr>
          <w:p>
            <w:pPr>
              <w:spacing w:after="0"/>
              <w:jc w:val="center"/>
            </w:pPr>
            <w:r>
              <w:rPr>
                <w:b w:val="false"/>
                <w:bCs w:val="false"/>
                <w:sz w:val="20"/>
                <w:szCs w:val="20"/>
              </w:rPr>
              <w:t xml:space="preserve">8,256</w:t>
            </w:r>
          </w:p>
        </w:tc>
      </w:tr>
      <w:tr>
        <w:trPr>
          <w:tblHeader w:val="false"/>
        </w:trPr>
        <w:tc>
          <w:tcPr>
            <w:tcW w:type="dxa" w:w="3400"/>
            <w:shd w:fill="F2F4F8" w:color="auto" w:val="clear"/>
            <w:tcMar>
              <w:top w:type="dxa" w:w="70"/>
              <w:left w:type="dxa" w:w="110"/>
              <w:bottom w:type="dxa" w:w="70"/>
              <w:right w:type="dxa" w:w="110"/>
            </w:tcMar>
          </w:tcPr>
          <w:p>
            <w:pPr>
              <w:spacing w:after="0"/>
              <w:jc w:val="left"/>
            </w:pPr>
            <w:r>
              <w:rPr>
                <w:b/>
                <w:bCs/>
                <w:sz w:val="20"/>
                <w:szCs w:val="20"/>
              </w:rPr>
              <w:t xml:space="preserve">Dense (1, Sigmoid)</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(1)</w:t>
            </w:r>
          </w:p>
        </w:tc>
        <w:tc>
          <w:tcPr>
            <w:tcW w:type="dxa" w:w="2550"/>
            <w:shd w:fill="F2F4F8" w:color="auto" w:val="clear"/>
            <w:tcMar>
              <w:top w:type="dxa" w:w="70"/>
              <w:left w:type="dxa" w:w="110"/>
              <w:bottom w:type="dxa" w:w="70"/>
              <w:right w:type="dxa" w:w="110"/>
            </w:tcMar>
          </w:tcPr>
          <w:p>
            <w:pPr>
              <w:spacing w:after="0"/>
              <w:jc w:val="center"/>
            </w:pPr>
            <w:r>
              <w:rPr>
                <w:b w:val="false"/>
                <w:bCs w:val="false"/>
                <w:sz w:val="20"/>
                <w:szCs w:val="20"/>
              </w:rPr>
              <w:t xml:space="preserve">65</w:t>
            </w:r>
          </w:p>
        </w:tc>
      </w:tr>
      <w:tr>
        <w:trPr>
          <w:tblHeader w:val="false"/>
        </w:trPr>
        <w:tc>
          <w:tcPr>
            <w:tcW w:type="dxa" w:w="3400"/>
            <w:tcMar>
              <w:top w:type="dxa" w:w="70"/>
              <w:left w:type="dxa" w:w="110"/>
              <w:bottom w:type="dxa" w:w="70"/>
              <w:right w:type="dxa" w:w="110"/>
            </w:tcMar>
          </w:tcPr>
          <w:p>
            <w:pPr>
              <w:spacing w:after="0"/>
              <w:jc w:val="left"/>
            </w:pPr>
            <w:r>
              <w:rPr>
                <w:b/>
                <w:bCs/>
                <w:sz w:val="20"/>
                <w:szCs w:val="20"/>
              </w:rPr>
              <w:t xml:space="preserve">Total</w:t>
            </w:r>
          </w:p>
        </w:tc>
        <w:tc>
          <w:tcPr>
            <w:tcW w:type="dxa" w:w="2550"/>
            <w:tcMar>
              <w:top w:type="dxa" w:w="70"/>
              <w:left w:type="dxa" w:w="110"/>
              <w:bottom w:type="dxa" w:w="70"/>
              <w:right w:type="dxa" w:w="110"/>
            </w:tcMar>
          </w:tcPr>
          <w:p>
            <w:pPr>
              <w:spacing w:after="0"/>
              <w:jc w:val="center"/>
            </w:pPr>
            <w:r>
              <w:rPr>
                <w:b w:val="false"/>
                <w:bCs w:val="false"/>
                <w:sz w:val="20"/>
                <w:szCs w:val="20"/>
              </w:rPr>
              <w:t xml:space="preserve"/>
            </w:r>
          </w:p>
        </w:tc>
        <w:tc>
          <w:tcPr>
            <w:tcW w:type="dxa" w:w="2550"/>
            <w:tcMar>
              <w:top w:type="dxa" w:w="70"/>
              <w:left w:type="dxa" w:w="110"/>
              <w:bottom w:type="dxa" w:w="70"/>
              <w:right w:type="dxa" w:w="110"/>
            </w:tcMar>
          </w:tcPr>
          <w:p>
            <w:pPr>
              <w:spacing w:after="0"/>
              <w:jc w:val="center"/>
            </w:pPr>
            <w:r>
              <w:rPr>
                <w:b w:val="false"/>
                <w:bCs w:val="false"/>
                <w:sz w:val="20"/>
                <w:szCs w:val="20"/>
              </w:rPr>
              <w:t xml:space="preserve">2,667,393</w:t>
            </w:r>
          </w:p>
        </w:tc>
      </w:tr>
    </w:tbl>
    <w:p>
      <w:pPr>
        <w:spacing w:after="140" w:line="276"/>
      </w:pPr>
      <w:r>
        <w:rPr>
          <w:sz w:val="22"/>
          <w:szCs w:val="22"/>
        </w:rPr>
        <w:t xml:space="preserve">The embedding layer accounts for 96% of the parameters. It is learned from scratch rather than initialised from pretrained vectors such as GloVe; with 66,000 training documents there is enough data to learn task-specific representations, and this keeps the model self-contained.</w:t>
      </w:r>
    </w:p>
    <w:p>
      <w:pPr>
        <w:spacing w:after="140" w:line="276"/>
      </w:pPr>
      <w:r>
        <w:rPr>
          <w:sz w:val="22"/>
          <w:szCs w:val="22"/>
        </w:rPr>
        <w:t xml:space="preserve">Dropout of 0.3 sits between the recurrent layer and the classifier head, which is where overfitting was expected given the parameter count. The final sigmoid produces a probability of the email being phishing, thresholded at 0.5.</w:t>
      </w:r>
    </w:p>
    <w:p>
      <w:pPr>
        <w:pStyle w:val="Heading2"/>
        <w:spacing w:after="140" w:before="260"/>
      </w:pPr>
      <w:r>
        <w:rPr>
          <w:b/>
          <w:bCs/>
          <w:color w:val="2E4A7D"/>
          <w:sz w:val="25"/>
          <w:szCs w:val="25"/>
        </w:rPr>
        <w:t xml:space="preserve">3.4 Training protocol</w:t>
      </w:r>
    </w:p>
    <w:p>
      <w:pPr>
        <w:spacing w:after="140" w:line="276"/>
      </w:pPr>
      <w:r>
        <w:rPr>
          <w:sz w:val="22"/>
          <w:szCs w:val="22"/>
        </w:rPr>
        <w:t xml:space="preserve">The model was compiled with the Adam optimiser at a learning rate of 1e-3 and binary cross-entropy loss, and trained with a batch size of 256 for a maximum of 15 epochs. Ten per cent of the training set was held back for validation. Class weights were computed with compute_class_weight. Two callbacks were used: ModelCheckpoint, saving whenever validation loss improved, and EarlyStopping with a patience of three epochs and restoration of the best weights.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1700"/>
        <w:gridCol w:w="2200"/>
        <w:gridCol w:w="2300"/>
        <w:gridCol w:w="2300"/>
      </w:tblGrid>
      <w:tr>
        <w:trPr>
          <w:tblHeader/>
        </w:trPr>
        <w:tc>
          <w:tcPr>
            <w:tcW w:type="dxa" w:w="1700"/>
            <w:shd w:fill="2E4A7D" w:color="auto" w:val="clear"/>
            <w:tcMar>
              <w:top w:type="dxa" w:w="70"/>
              <w:left w:type="dxa" w:w="110"/>
              <w:bottom w:type="dxa" w:w="70"/>
              <w:right w:type="dxa" w:w="110"/>
            </w:tcMar>
          </w:tcPr>
          <w:p>
            <w:pPr>
              <w:spacing w:after="0"/>
              <w:jc w:val="left"/>
            </w:pPr>
            <w:r>
              <w:rPr>
                <w:b/>
                <w:bCs/>
                <w:color w:val="FFFFFF"/>
                <w:sz w:val="20"/>
                <w:szCs w:val="20"/>
              </w:rPr>
              <w:t xml:space="preserve">Epoch</w:t>
            </w:r>
          </w:p>
        </w:tc>
        <w:tc>
          <w:tcPr>
            <w:tcW w:type="dxa" w:w="2200"/>
            <w:shd w:fill="2E4A7D" w:color="auto" w:val="clear"/>
            <w:tcMar>
              <w:top w:type="dxa" w:w="70"/>
              <w:left w:type="dxa" w:w="110"/>
              <w:bottom w:type="dxa" w:w="70"/>
              <w:right w:type="dxa" w:w="110"/>
            </w:tcMar>
          </w:tcPr>
          <w:p>
            <w:pPr>
              <w:spacing w:after="0"/>
              <w:jc w:val="center"/>
            </w:pPr>
            <w:r>
              <w:rPr>
                <w:b/>
                <w:bCs/>
                <w:color w:val="FFFFFF"/>
                <w:sz w:val="20"/>
                <w:szCs w:val="20"/>
              </w:rPr>
              <w:t xml:space="preserve">Training loss</w:t>
            </w:r>
          </w:p>
        </w:tc>
        <w:tc>
          <w:tcPr>
            <w:tcW w:type="dxa" w:w="2300"/>
            <w:shd w:fill="2E4A7D" w:color="auto" w:val="clear"/>
            <w:tcMar>
              <w:top w:type="dxa" w:w="70"/>
              <w:left w:type="dxa" w:w="110"/>
              <w:bottom w:type="dxa" w:w="70"/>
              <w:right w:type="dxa" w:w="110"/>
            </w:tcMar>
          </w:tcPr>
          <w:p>
            <w:pPr>
              <w:spacing w:after="0"/>
              <w:jc w:val="center"/>
            </w:pPr>
            <w:r>
              <w:rPr>
                <w:b/>
                <w:bCs/>
                <w:color w:val="FFFFFF"/>
                <w:sz w:val="20"/>
                <w:szCs w:val="20"/>
              </w:rPr>
              <w:t xml:space="preserve">Validation loss</w:t>
            </w:r>
          </w:p>
        </w:tc>
        <w:tc>
          <w:tcPr>
            <w:tcW w:type="dxa" w:w="2300"/>
            <w:shd w:fill="2E4A7D" w:color="auto" w:val="clear"/>
            <w:tcMar>
              <w:top w:type="dxa" w:w="70"/>
              <w:left w:type="dxa" w:w="110"/>
              <w:bottom w:type="dxa" w:w="70"/>
              <w:right w:type="dxa" w:w="110"/>
            </w:tcMar>
          </w:tcPr>
          <w:p>
            <w:pPr>
              <w:spacing w:after="0"/>
              <w:jc w:val="center"/>
            </w:pPr>
            <w:r>
              <w:rPr>
                <w:b/>
                <w:bCs/>
                <w:color w:val="FFFFFF"/>
                <w:sz w:val="20"/>
                <w:szCs w:val="20"/>
              </w:rPr>
              <w:t xml:space="preserve">Validation accuracy</w:t>
            </w:r>
          </w:p>
        </w:tc>
      </w:tr>
      <w:tr>
        <w:trPr>
          <w:tblHeader w:val="false"/>
        </w:trPr>
        <w:tc>
          <w:tcPr>
            <w:tcW w:type="dxa" w:w="1700"/>
            <w:tcMar>
              <w:top w:type="dxa" w:w="70"/>
              <w:left w:type="dxa" w:w="110"/>
              <w:bottom w:type="dxa" w:w="70"/>
              <w:right w:type="dxa" w:w="110"/>
            </w:tcMar>
          </w:tcPr>
          <w:p>
            <w:pPr>
              <w:spacing w:after="0"/>
              <w:jc w:val="left"/>
            </w:pPr>
            <w:r>
              <w:rPr>
                <w:b/>
                <w:bCs/>
                <w:sz w:val="20"/>
                <w:szCs w:val="20"/>
              </w:rPr>
              <w:t xml:space="preserve">1</w:t>
            </w:r>
          </w:p>
        </w:tc>
        <w:tc>
          <w:tcPr>
            <w:tcW w:type="dxa" w:w="2200"/>
            <w:tcMar>
              <w:top w:type="dxa" w:w="70"/>
              <w:left w:type="dxa" w:w="110"/>
              <w:bottom w:type="dxa" w:w="70"/>
              <w:right w:type="dxa" w:w="110"/>
            </w:tcMar>
          </w:tcPr>
          <w:p>
            <w:pPr>
              <w:spacing w:after="0"/>
              <w:jc w:val="center"/>
            </w:pPr>
            <w:r>
              <w:rPr>
                <w:b w:val="false"/>
                <w:bCs w:val="false"/>
                <w:sz w:val="20"/>
                <w:szCs w:val="20"/>
              </w:rPr>
              <w:t xml:space="preserve">0.6422</w:t>
            </w:r>
          </w:p>
        </w:tc>
        <w:tc>
          <w:tcPr>
            <w:tcW w:type="dxa" w:w="2300"/>
            <w:tcMar>
              <w:top w:type="dxa" w:w="70"/>
              <w:left w:type="dxa" w:w="110"/>
              <w:bottom w:type="dxa" w:w="70"/>
              <w:right w:type="dxa" w:w="110"/>
            </w:tcMar>
          </w:tcPr>
          <w:p>
            <w:pPr>
              <w:spacing w:after="0"/>
              <w:jc w:val="center"/>
            </w:pPr>
            <w:r>
              <w:rPr>
                <w:b w:val="false"/>
                <w:bCs w:val="false"/>
                <w:sz w:val="20"/>
                <w:szCs w:val="20"/>
              </w:rPr>
              <w:t xml:space="preserve">0.1941</w:t>
            </w:r>
          </w:p>
        </w:tc>
        <w:tc>
          <w:tcPr>
            <w:tcW w:type="dxa" w:w="2300"/>
            <w:tcMar>
              <w:top w:type="dxa" w:w="70"/>
              <w:left w:type="dxa" w:w="110"/>
              <w:bottom w:type="dxa" w:w="70"/>
              <w:right w:type="dxa" w:w="110"/>
            </w:tcMar>
          </w:tcPr>
          <w:p>
            <w:pPr>
              <w:spacing w:after="0"/>
              <w:jc w:val="center"/>
            </w:pPr>
            <w:r>
              <w:rPr>
                <w:b w:val="false"/>
                <w:bCs w:val="false"/>
                <w:sz w:val="20"/>
                <w:szCs w:val="20"/>
              </w:rPr>
              <w:t xml:space="preserve">0.9306</w:t>
            </w:r>
          </w:p>
        </w:tc>
      </w:tr>
      <w:tr>
        <w:trPr>
          <w:tblHeader w:val="false"/>
        </w:trPr>
        <w:tc>
          <w:tcPr>
            <w:tcW w:type="dxa" w:w="1700"/>
            <w:shd w:fill="F2F4F8" w:color="auto" w:val="clear"/>
            <w:tcMar>
              <w:top w:type="dxa" w:w="70"/>
              <w:left w:type="dxa" w:w="110"/>
              <w:bottom w:type="dxa" w:w="70"/>
              <w:right w:type="dxa" w:w="110"/>
            </w:tcMar>
          </w:tcPr>
          <w:p>
            <w:pPr>
              <w:spacing w:after="0"/>
              <w:jc w:val="left"/>
            </w:pPr>
            <w:r>
              <w:rPr>
                <w:b/>
                <w:bCs/>
                <w:sz w:val="20"/>
                <w:szCs w:val="20"/>
              </w:rPr>
              <w:t xml:space="preserve">2</w:t>
            </w:r>
          </w:p>
        </w:tc>
        <w:tc>
          <w:tcPr>
            <w:tcW w:type="dxa" w:w="2200"/>
            <w:shd w:fill="F2F4F8" w:color="auto" w:val="clear"/>
            <w:tcMar>
              <w:top w:type="dxa" w:w="70"/>
              <w:left w:type="dxa" w:w="110"/>
              <w:bottom w:type="dxa" w:w="70"/>
              <w:right w:type="dxa" w:w="110"/>
            </w:tcMar>
          </w:tcPr>
          <w:p>
            <w:pPr>
              <w:spacing w:after="0"/>
              <w:jc w:val="center"/>
            </w:pPr>
            <w:r>
              <w:rPr>
                <w:b w:val="false"/>
                <w:bCs w:val="false"/>
                <w:sz w:val="20"/>
                <w:szCs w:val="20"/>
              </w:rPr>
              <w:t xml:space="preserve">0.0867</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0.0544</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0.9821</w:t>
            </w:r>
          </w:p>
        </w:tc>
      </w:tr>
      <w:tr>
        <w:trPr>
          <w:tblHeader w:val="false"/>
        </w:trPr>
        <w:tc>
          <w:tcPr>
            <w:tcW w:type="dxa" w:w="1700"/>
            <w:tcMar>
              <w:top w:type="dxa" w:w="70"/>
              <w:left w:type="dxa" w:w="110"/>
              <w:bottom w:type="dxa" w:w="70"/>
              <w:right w:type="dxa" w:w="110"/>
            </w:tcMar>
          </w:tcPr>
          <w:p>
            <w:pPr>
              <w:spacing w:after="0"/>
              <w:jc w:val="left"/>
            </w:pPr>
            <w:r>
              <w:rPr>
                <w:b/>
                <w:bCs/>
                <w:sz w:val="20"/>
                <w:szCs w:val="20"/>
              </w:rPr>
              <w:t xml:space="preserve">3  (best)</w:t>
            </w:r>
          </w:p>
        </w:tc>
        <w:tc>
          <w:tcPr>
            <w:tcW w:type="dxa" w:w="2200"/>
            <w:tcMar>
              <w:top w:type="dxa" w:w="70"/>
              <w:left w:type="dxa" w:w="110"/>
              <w:bottom w:type="dxa" w:w="70"/>
              <w:right w:type="dxa" w:w="110"/>
            </w:tcMar>
          </w:tcPr>
          <w:p>
            <w:pPr>
              <w:spacing w:after="0"/>
              <w:jc w:val="center"/>
            </w:pPr>
            <w:r>
              <w:rPr>
                <w:b w:val="false"/>
                <w:bCs w:val="false"/>
                <w:sz w:val="20"/>
                <w:szCs w:val="20"/>
              </w:rPr>
              <w:t xml:space="preserve">0.0345</w:t>
            </w:r>
          </w:p>
        </w:tc>
        <w:tc>
          <w:tcPr>
            <w:tcW w:type="dxa" w:w="2300"/>
            <w:tcMar>
              <w:top w:type="dxa" w:w="70"/>
              <w:left w:type="dxa" w:w="110"/>
              <w:bottom w:type="dxa" w:w="70"/>
              <w:right w:type="dxa" w:w="110"/>
            </w:tcMar>
          </w:tcPr>
          <w:p>
            <w:pPr>
              <w:spacing w:after="0"/>
              <w:jc w:val="center"/>
            </w:pPr>
            <w:r>
              <w:rPr>
                <w:b w:val="false"/>
                <w:bCs w:val="false"/>
                <w:sz w:val="20"/>
                <w:szCs w:val="20"/>
              </w:rPr>
              <w:t xml:space="preserve">0.0514</w:t>
            </w:r>
          </w:p>
        </w:tc>
        <w:tc>
          <w:tcPr>
            <w:tcW w:type="dxa" w:w="2300"/>
            <w:tcMar>
              <w:top w:type="dxa" w:w="70"/>
              <w:left w:type="dxa" w:w="110"/>
              <w:bottom w:type="dxa" w:w="70"/>
              <w:right w:type="dxa" w:w="110"/>
            </w:tcMar>
          </w:tcPr>
          <w:p>
            <w:pPr>
              <w:spacing w:after="0"/>
              <w:jc w:val="center"/>
            </w:pPr>
            <w:r>
              <w:rPr>
                <w:b w:val="false"/>
                <w:bCs w:val="false"/>
                <w:sz w:val="20"/>
                <w:szCs w:val="20"/>
              </w:rPr>
              <w:t xml:space="preserve">0.9844</w:t>
            </w:r>
          </w:p>
        </w:tc>
      </w:tr>
      <w:tr>
        <w:trPr>
          <w:tblHeader w:val="false"/>
        </w:trPr>
        <w:tc>
          <w:tcPr>
            <w:tcW w:type="dxa" w:w="1700"/>
            <w:shd w:fill="F2F4F8" w:color="auto" w:val="clear"/>
            <w:tcMar>
              <w:top w:type="dxa" w:w="70"/>
              <w:left w:type="dxa" w:w="110"/>
              <w:bottom w:type="dxa" w:w="70"/>
              <w:right w:type="dxa" w:w="110"/>
            </w:tcMar>
          </w:tcPr>
          <w:p>
            <w:pPr>
              <w:spacing w:after="0"/>
              <w:jc w:val="left"/>
            </w:pPr>
            <w:r>
              <w:rPr>
                <w:b/>
                <w:bCs/>
                <w:sz w:val="20"/>
                <w:szCs w:val="20"/>
              </w:rPr>
              <w:t xml:space="preserve">4</w:t>
            </w:r>
          </w:p>
        </w:tc>
        <w:tc>
          <w:tcPr>
            <w:tcW w:type="dxa" w:w="2200"/>
            <w:shd w:fill="F2F4F8" w:color="auto" w:val="clear"/>
            <w:tcMar>
              <w:top w:type="dxa" w:w="70"/>
              <w:left w:type="dxa" w:w="110"/>
              <w:bottom w:type="dxa" w:w="70"/>
              <w:right w:type="dxa" w:w="110"/>
            </w:tcMar>
          </w:tcPr>
          <w:p>
            <w:pPr>
              <w:spacing w:after="0"/>
              <w:jc w:val="center"/>
            </w:pPr>
            <w:r>
              <w:rPr>
                <w:b w:val="false"/>
                <w:bCs w:val="false"/>
                <w:sz w:val="20"/>
                <w:szCs w:val="20"/>
              </w:rPr>
              <w:t xml:space="preserve">0.0211</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0.0544</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0.9833</w:t>
            </w:r>
          </w:p>
        </w:tc>
      </w:tr>
      <w:tr>
        <w:trPr>
          <w:tblHeader w:val="false"/>
        </w:trPr>
        <w:tc>
          <w:tcPr>
            <w:tcW w:type="dxa" w:w="1700"/>
            <w:tcMar>
              <w:top w:type="dxa" w:w="70"/>
              <w:left w:type="dxa" w:w="110"/>
              <w:bottom w:type="dxa" w:w="70"/>
              <w:right w:type="dxa" w:w="110"/>
            </w:tcMar>
          </w:tcPr>
          <w:p>
            <w:pPr>
              <w:spacing w:after="0"/>
              <w:jc w:val="left"/>
            </w:pPr>
            <w:r>
              <w:rPr>
                <w:b/>
                <w:bCs/>
                <w:sz w:val="20"/>
                <w:szCs w:val="20"/>
              </w:rPr>
              <w:t xml:space="preserve">5</w:t>
            </w:r>
          </w:p>
        </w:tc>
        <w:tc>
          <w:tcPr>
            <w:tcW w:type="dxa" w:w="2200"/>
            <w:tcMar>
              <w:top w:type="dxa" w:w="70"/>
              <w:left w:type="dxa" w:w="110"/>
              <w:bottom w:type="dxa" w:w="70"/>
              <w:right w:type="dxa" w:w="110"/>
            </w:tcMar>
          </w:tcPr>
          <w:p>
            <w:pPr>
              <w:spacing w:after="0"/>
              <w:jc w:val="center"/>
            </w:pPr>
            <w:r>
              <w:rPr>
                <w:b w:val="false"/>
                <w:bCs w:val="false"/>
                <w:sz w:val="20"/>
                <w:szCs w:val="20"/>
              </w:rPr>
              <w:t xml:space="preserve">0.0131</w:t>
            </w:r>
          </w:p>
        </w:tc>
        <w:tc>
          <w:tcPr>
            <w:tcW w:type="dxa" w:w="2300"/>
            <w:tcMar>
              <w:top w:type="dxa" w:w="70"/>
              <w:left w:type="dxa" w:w="110"/>
              <w:bottom w:type="dxa" w:w="70"/>
              <w:right w:type="dxa" w:w="110"/>
            </w:tcMar>
          </w:tcPr>
          <w:p>
            <w:pPr>
              <w:spacing w:after="0"/>
              <w:jc w:val="center"/>
            </w:pPr>
            <w:r>
              <w:rPr>
                <w:b w:val="false"/>
                <w:bCs w:val="false"/>
                <w:sz w:val="20"/>
                <w:szCs w:val="20"/>
              </w:rPr>
              <w:t xml:space="preserve">0.0532</w:t>
            </w:r>
          </w:p>
        </w:tc>
        <w:tc>
          <w:tcPr>
            <w:tcW w:type="dxa" w:w="2300"/>
            <w:tcMar>
              <w:top w:type="dxa" w:w="70"/>
              <w:left w:type="dxa" w:w="110"/>
              <w:bottom w:type="dxa" w:w="70"/>
              <w:right w:type="dxa" w:w="110"/>
            </w:tcMar>
          </w:tcPr>
          <w:p>
            <w:pPr>
              <w:spacing w:after="0"/>
              <w:jc w:val="center"/>
            </w:pPr>
            <w:r>
              <w:rPr>
                <w:b w:val="false"/>
                <w:bCs w:val="false"/>
                <w:sz w:val="20"/>
                <w:szCs w:val="20"/>
              </w:rPr>
              <w:t xml:space="preserve">0.9859</w:t>
            </w:r>
          </w:p>
        </w:tc>
      </w:tr>
      <w:tr>
        <w:trPr>
          <w:tblHeader w:val="false"/>
        </w:trPr>
        <w:tc>
          <w:tcPr>
            <w:tcW w:type="dxa" w:w="1700"/>
            <w:shd w:fill="F2F4F8" w:color="auto" w:val="clear"/>
            <w:tcMar>
              <w:top w:type="dxa" w:w="70"/>
              <w:left w:type="dxa" w:w="110"/>
              <w:bottom w:type="dxa" w:w="70"/>
              <w:right w:type="dxa" w:w="110"/>
            </w:tcMar>
          </w:tcPr>
          <w:p>
            <w:pPr>
              <w:spacing w:after="0"/>
              <w:jc w:val="left"/>
            </w:pPr>
            <w:r>
              <w:rPr>
                <w:b/>
                <w:bCs/>
                <w:sz w:val="20"/>
                <w:szCs w:val="20"/>
              </w:rPr>
              <w:t xml:space="preserve">6</w:t>
            </w:r>
          </w:p>
        </w:tc>
        <w:tc>
          <w:tcPr>
            <w:tcW w:type="dxa" w:w="2200"/>
            <w:shd w:fill="F2F4F8" w:color="auto" w:val="clear"/>
            <w:tcMar>
              <w:top w:type="dxa" w:w="70"/>
              <w:left w:type="dxa" w:w="110"/>
              <w:bottom w:type="dxa" w:w="70"/>
              <w:right w:type="dxa" w:w="110"/>
            </w:tcMar>
          </w:tcPr>
          <w:p>
            <w:pPr>
              <w:spacing w:after="0"/>
              <w:jc w:val="center"/>
            </w:pPr>
            <w:r>
              <w:rPr>
                <w:b w:val="false"/>
                <w:bCs w:val="false"/>
                <w:sz w:val="20"/>
                <w:szCs w:val="20"/>
              </w:rPr>
              <w:t xml:space="preserve">0.0096</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0.0538</w:t>
            </w:r>
          </w:p>
        </w:tc>
        <w:tc>
          <w:tcPr>
            <w:tcW w:type="dxa" w:w="2300"/>
            <w:shd w:fill="F2F4F8" w:color="auto" w:val="clear"/>
            <w:tcMar>
              <w:top w:type="dxa" w:w="70"/>
              <w:left w:type="dxa" w:w="110"/>
              <w:bottom w:type="dxa" w:w="70"/>
              <w:right w:type="dxa" w:w="110"/>
            </w:tcMar>
          </w:tcPr>
          <w:p>
            <w:pPr>
              <w:spacing w:after="0"/>
              <w:jc w:val="center"/>
            </w:pPr>
            <w:r>
              <w:rPr>
                <w:b w:val="false"/>
                <w:bCs w:val="false"/>
                <w:sz w:val="20"/>
                <w:szCs w:val="20"/>
              </w:rPr>
              <w:t xml:space="preserve">0.9842</w:t>
            </w:r>
          </w:p>
        </w:tc>
      </w:tr>
    </w:tbl>
    <w:p>
      <w:pPr>
        <w:spacing w:after="140" w:line="276"/>
      </w:pPr>
      <w:r>
        <w:rPr>
          <w:sz w:val="22"/>
          <w:szCs w:val="22"/>
        </w:rPr>
        <w:t xml:space="preserve">Training halted at epoch 6 and the epoch-3 weights were restored. The table shows exactly why the callbacks matter: training loss fell continuously from 0.0345 to 0.0096 over epochs 3 to 6, a reduction of more than two thirds, while validation loss reached its minimum at epoch 3 and then drifted upward. The model was memorising the training set with no corresponding gain in generalisation. Without checkpointing, the final epoch's weights would have been kept and the reported model would have been a measurably worse one. Total training time was 12.1 minutes.</w:t>
      </w:r>
    </w:p>
    <w:p>
      <w:pPr>
        <w:spacing w:after="60" w:before="1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i/>
          <w:iCs/>
          <w:color w:val="5A6474"/>
          <w:sz w:val="18"/>
          <w:szCs w:val="18"/>
        </w:rPr>
        <w:t xml:space="preserve">Figure 4 — GRU training and validation curves. The divergence after epoch 3 is the overfitting point that triggered early stopping.</w:t>
      </w:r>
    </w:p>
    <w:p>
      <w:pPr>
        <w:pStyle w:val="Heading2"/>
        <w:spacing w:after="140" w:before="260"/>
      </w:pPr>
      <w:r>
        <w:rPr>
          <w:b/>
          <w:bCs/>
          <w:color w:val="2E4A7D"/>
          <w:sz w:val="25"/>
          <w:szCs w:val="25"/>
        </w:rPr>
        <w:t xml:space="preserve">3.5 Results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4000"/>
        <w:gridCol w:w="4500"/>
      </w:tblGrid>
      <w:tr>
        <w:trPr>
          <w:tblHeader/>
        </w:trPr>
        <w:tc>
          <w:tcPr>
            <w:tcW w:type="dxa" w:w="4000"/>
            <w:shd w:fill="2E4A7D" w:color="auto" w:val="clear"/>
            <w:tcMar>
              <w:top w:type="dxa" w:w="70"/>
              <w:left w:type="dxa" w:w="110"/>
              <w:bottom w:type="dxa" w:w="70"/>
              <w:right w:type="dxa" w:w="110"/>
            </w:tcMar>
          </w:tcPr>
          <w:p>
            <w:pPr>
              <w:spacing w:after="0"/>
              <w:jc w:val="left"/>
            </w:pPr>
            <w:r>
              <w:rPr>
                <w:b/>
                <w:bCs/>
                <w:color w:val="FFFFFF"/>
                <w:sz w:val="20"/>
                <w:szCs w:val="20"/>
              </w:rPr>
              <w:t xml:space="preserve">Metric</w:t>
            </w:r>
          </w:p>
        </w:tc>
        <w:tc>
          <w:tcPr>
            <w:tcW w:type="dxa" w:w="4500"/>
            <w:shd w:fill="2E4A7D" w:color="auto" w:val="clear"/>
            <w:tcMar>
              <w:top w:type="dxa" w:w="70"/>
              <w:left w:type="dxa" w:w="110"/>
              <w:bottom w:type="dxa" w:w="70"/>
              <w:right w:type="dxa" w:w="110"/>
            </w:tcMar>
          </w:tcPr>
          <w:p>
            <w:pPr>
              <w:spacing w:after="0"/>
              <w:jc w:val="center"/>
            </w:pPr>
            <w:r>
              <w:rPr>
                <w:b/>
                <w:bCs/>
                <w:color w:val="FFFFFF"/>
                <w:sz w:val="20"/>
                <w:szCs w:val="20"/>
              </w:rPr>
              <w:t xml:space="preserve">Value</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Accuracy</w:t>
            </w:r>
          </w:p>
        </w:tc>
        <w:tc>
          <w:tcPr>
            <w:tcW w:type="dxa" w:w="4500"/>
            <w:tcMar>
              <w:top w:type="dxa" w:w="70"/>
              <w:left w:type="dxa" w:w="110"/>
              <w:bottom w:type="dxa" w:w="70"/>
              <w:right w:type="dxa" w:w="110"/>
            </w:tcMar>
          </w:tcPr>
          <w:p>
            <w:pPr>
              <w:spacing w:after="0"/>
              <w:jc w:val="center"/>
            </w:pPr>
            <w:r>
              <w:rPr>
                <w:b w:val="false"/>
                <w:bCs w:val="false"/>
                <w:sz w:val="20"/>
                <w:szCs w:val="20"/>
              </w:rPr>
              <w:t xml:space="preserve">0.9861</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Precision</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0.9850</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Recall</w:t>
            </w:r>
          </w:p>
        </w:tc>
        <w:tc>
          <w:tcPr>
            <w:tcW w:type="dxa" w:w="4500"/>
            <w:tcMar>
              <w:top w:type="dxa" w:w="70"/>
              <w:left w:type="dxa" w:w="110"/>
              <w:bottom w:type="dxa" w:w="70"/>
              <w:right w:type="dxa" w:w="110"/>
            </w:tcMar>
          </w:tcPr>
          <w:p>
            <w:pPr>
              <w:spacing w:after="0"/>
              <w:jc w:val="center"/>
            </w:pPr>
            <w:r>
              <w:rPr>
                <w:b w:val="false"/>
                <w:bCs w:val="false"/>
                <w:sz w:val="20"/>
                <w:szCs w:val="20"/>
              </w:rPr>
              <w:t xml:space="preserve">0.9882</w:t>
            </w:r>
          </w:p>
        </w:tc>
      </w:tr>
      <w:tr>
        <w:trPr>
          <w:tblHeader w:val="false"/>
        </w:trPr>
        <w:tc>
          <w:tcPr>
            <w:tcW w:type="dxa" w:w="4000"/>
            <w:shd w:fill="F2F4F8" w:color="auto" w:val="clear"/>
            <w:tcMar>
              <w:top w:type="dxa" w:w="70"/>
              <w:left w:type="dxa" w:w="110"/>
              <w:bottom w:type="dxa" w:w="70"/>
              <w:right w:type="dxa" w:w="110"/>
            </w:tcMar>
          </w:tcPr>
          <w:p>
            <w:pPr>
              <w:spacing w:after="0"/>
              <w:jc w:val="left"/>
            </w:pPr>
            <w:r>
              <w:rPr>
                <w:b/>
                <w:bCs/>
                <w:sz w:val="20"/>
                <w:szCs w:val="20"/>
              </w:rPr>
              <w:t xml:space="preserve">F1-score</w:t>
            </w:r>
          </w:p>
        </w:tc>
        <w:tc>
          <w:tcPr>
            <w:tcW w:type="dxa" w:w="4500"/>
            <w:shd w:fill="F2F4F8" w:color="auto" w:val="clear"/>
            <w:tcMar>
              <w:top w:type="dxa" w:w="70"/>
              <w:left w:type="dxa" w:w="110"/>
              <w:bottom w:type="dxa" w:w="70"/>
              <w:right w:type="dxa" w:w="110"/>
            </w:tcMar>
          </w:tcPr>
          <w:p>
            <w:pPr>
              <w:spacing w:after="0"/>
              <w:jc w:val="center"/>
            </w:pPr>
            <w:r>
              <w:rPr>
                <w:b w:val="false"/>
                <w:bCs w:val="false"/>
                <w:sz w:val="20"/>
                <w:szCs w:val="20"/>
              </w:rPr>
              <w:t xml:space="preserve">0.9866</w:t>
            </w:r>
          </w:p>
        </w:tc>
      </w:tr>
      <w:tr>
        <w:trPr>
          <w:tblHeader w:val="false"/>
        </w:trPr>
        <w:tc>
          <w:tcPr>
            <w:tcW w:type="dxa" w:w="4000"/>
            <w:tcMar>
              <w:top w:type="dxa" w:w="70"/>
              <w:left w:type="dxa" w:w="110"/>
              <w:bottom w:type="dxa" w:w="70"/>
              <w:right w:type="dxa" w:w="110"/>
            </w:tcMar>
          </w:tcPr>
          <w:p>
            <w:pPr>
              <w:spacing w:after="0"/>
              <w:jc w:val="left"/>
            </w:pPr>
            <w:r>
              <w:rPr>
                <w:b/>
                <w:bCs/>
                <w:sz w:val="20"/>
                <w:szCs w:val="20"/>
              </w:rPr>
              <w:t xml:space="preserve">ROC-AUC</w:t>
            </w:r>
          </w:p>
        </w:tc>
        <w:tc>
          <w:tcPr>
            <w:tcW w:type="dxa" w:w="4500"/>
            <w:tcMar>
              <w:top w:type="dxa" w:w="70"/>
              <w:left w:type="dxa" w:w="110"/>
              <w:bottom w:type="dxa" w:w="70"/>
              <w:right w:type="dxa" w:w="110"/>
            </w:tcMar>
          </w:tcPr>
          <w:p>
            <w:pPr>
              <w:spacing w:after="0"/>
              <w:jc w:val="center"/>
            </w:pPr>
            <w:r>
              <w:rPr>
                <w:b w:val="false"/>
                <w:bCs w:val="false"/>
                <w:sz w:val="20"/>
                <w:szCs w:val="20"/>
              </w:rPr>
              <w:t xml:space="preserve">0.9978</w:t>
            </w:r>
          </w:p>
        </w:tc>
      </w:tr>
    </w:tbl>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600"/>
        <w:gridCol w:w="2950"/>
        <w:gridCol w:w="2950"/>
      </w:tblGrid>
      <w:tr>
        <w:trPr>
          <w:tblHeader/>
        </w:trPr>
        <w:tc>
          <w:tcPr>
            <w:tcW w:type="dxa" w:w="2600"/>
            <w:shd w:fill="2E4A7D" w:color="auto" w:val="clear"/>
            <w:tcMar>
              <w:top w:type="dxa" w:w="70"/>
              <w:left w:type="dxa" w:w="110"/>
              <w:bottom w:type="dxa" w:w="70"/>
              <w:right w:type="dxa" w:w="110"/>
            </w:tcMar>
          </w:tcPr>
          <w:p>
            <w:pPr>
              <w:spacing w:after="0"/>
              <w:jc w:val="left"/>
            </w:pPr>
            <w:r>
              <w:rPr>
                <w:b/>
                <w:bCs/>
                <w:color w:val="FFFFFF"/>
                <w:sz w:val="20"/>
                <w:szCs w:val="20"/>
              </w:rPr>
              <w:t xml:space="preserve"/>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Predicted Legitimate</w:t>
            </w:r>
          </w:p>
        </w:tc>
        <w:tc>
          <w:tcPr>
            <w:tcW w:type="dxa" w:w="2950"/>
            <w:shd w:fill="2E4A7D" w:color="auto" w:val="clear"/>
            <w:tcMar>
              <w:top w:type="dxa" w:w="70"/>
              <w:left w:type="dxa" w:w="110"/>
              <w:bottom w:type="dxa" w:w="70"/>
              <w:right w:type="dxa" w:w="110"/>
            </w:tcMar>
          </w:tcPr>
          <w:p>
            <w:pPr>
              <w:spacing w:after="0"/>
              <w:jc w:val="center"/>
            </w:pPr>
            <w:r>
              <w:rPr>
                <w:b/>
                <w:bCs/>
                <w:color w:val="FFFFFF"/>
                <w:sz w:val="20"/>
                <w:szCs w:val="20"/>
              </w:rPr>
              <w:t xml:space="preserve">Predicted Phishing</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Actual Legitimate</w:t>
            </w:r>
          </w:p>
        </w:tc>
        <w:tc>
          <w:tcPr>
            <w:tcW w:type="dxa" w:w="2950"/>
            <w:tcMar>
              <w:top w:type="dxa" w:w="70"/>
              <w:left w:type="dxa" w:w="110"/>
              <w:bottom w:type="dxa" w:w="70"/>
              <w:right w:type="dxa" w:w="110"/>
            </w:tcMar>
          </w:tcPr>
          <w:p>
            <w:pPr>
              <w:spacing w:after="0"/>
              <w:jc w:val="center"/>
            </w:pPr>
            <w:r>
              <w:rPr>
                <w:b w:val="false"/>
                <w:bCs w:val="false"/>
                <w:sz w:val="20"/>
                <w:szCs w:val="20"/>
              </w:rPr>
              <w:t xml:space="preserve">7,790</w:t>
            </w:r>
          </w:p>
        </w:tc>
        <w:tc>
          <w:tcPr>
            <w:tcW w:type="dxa" w:w="2950"/>
            <w:tcMar>
              <w:top w:type="dxa" w:w="70"/>
              <w:left w:type="dxa" w:w="110"/>
              <w:bottom w:type="dxa" w:w="70"/>
              <w:right w:type="dxa" w:w="110"/>
            </w:tcMar>
          </w:tcPr>
          <w:p>
            <w:pPr>
              <w:spacing w:after="0"/>
              <w:jc w:val="center"/>
            </w:pPr>
            <w:r>
              <w:rPr>
                <w:b w:val="false"/>
                <w:bCs w:val="false"/>
                <w:sz w:val="20"/>
                <w:szCs w:val="20"/>
              </w:rPr>
              <w:t xml:space="preserve">129</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Actual Phishing</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101</w:t>
            </w:r>
          </w:p>
        </w:tc>
        <w:tc>
          <w:tcPr>
            <w:tcW w:type="dxa" w:w="2950"/>
            <w:shd w:fill="F2F4F8" w:color="auto" w:val="clear"/>
            <w:tcMar>
              <w:top w:type="dxa" w:w="70"/>
              <w:left w:type="dxa" w:w="110"/>
              <w:bottom w:type="dxa" w:w="70"/>
              <w:right w:type="dxa" w:w="110"/>
            </w:tcMar>
          </w:tcPr>
          <w:p>
            <w:pPr>
              <w:spacing w:after="0"/>
              <w:jc w:val="center"/>
            </w:pPr>
            <w:r>
              <w:rPr>
                <w:b w:val="false"/>
                <w:bCs w:val="false"/>
                <w:sz w:val="20"/>
                <w:szCs w:val="20"/>
              </w:rPr>
              <w:t xml:space="preserve">8,477</w:t>
            </w:r>
          </w:p>
        </w:tc>
      </w:tr>
    </w:tbl>
    <w:p>
      <w:pPr>
        <w:spacing w:after="60" w:before="1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57500"/>
                    </a:xfrm>
                    <a:prstGeom prst="rect">
                      <a:avLst/>
                    </a:prstGeom>
                  </pic:spPr>
                </pic:pic>
              </a:graphicData>
            </a:graphic>
          </wp:inline>
        </w:drawing>
      </w:r>
    </w:p>
    <w:p>
      <w:pPr>
        <w:spacing w:after="220"/>
        <w:jc w:val="center"/>
      </w:pPr>
      <w:r>
        <w:rPr>
          <w:i/>
          <w:iCs/>
          <w:color w:val="5A6474"/>
          <w:sz w:val="18"/>
          <w:szCs w:val="18"/>
        </w:rPr>
        <w:t xml:space="preserve">Figure 5 — GRU confusion matrix on the 16,497-email test set.</w:t>
      </w:r>
    </w:p>
    <w:p>
      <w:r>
        <w:br w:type="page"/>
      </w:r>
    </w:p>
    <w:p>
      <w:pPr>
        <w:pStyle w:val="Heading1"/>
        <w:spacing w:after="140" w:before="360"/>
      </w:pPr>
      <w:r>
        <w:rPr>
          <w:b/>
          <w:bCs/>
          <w:color w:val="2E4A7D"/>
          <w:sz w:val="30"/>
          <w:szCs w:val="30"/>
        </w:rPr>
        <w:t xml:space="preserve">4. Comparison and Discussion</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300"/>
        <w:gridCol w:w="1240"/>
        <w:gridCol w:w="1240"/>
        <w:gridCol w:w="1240"/>
        <w:gridCol w:w="1240"/>
        <w:gridCol w:w="1240"/>
      </w:tblGrid>
      <w:tr>
        <w:trPr>
          <w:tblHeader/>
        </w:trPr>
        <w:tc>
          <w:tcPr>
            <w:tcW w:type="dxa" w:w="2300"/>
            <w:shd w:fill="2E4A7D" w:color="auto" w:val="clear"/>
            <w:tcMar>
              <w:top w:type="dxa" w:w="70"/>
              <w:left w:type="dxa" w:w="110"/>
              <w:bottom w:type="dxa" w:w="70"/>
              <w:right w:type="dxa" w:w="110"/>
            </w:tcMar>
          </w:tcPr>
          <w:p>
            <w:pPr>
              <w:spacing w:after="0"/>
              <w:jc w:val="left"/>
            </w:pPr>
            <w:r>
              <w:rPr>
                <w:b/>
                <w:bCs/>
                <w:color w:val="FFFFFF"/>
                <w:sz w:val="20"/>
                <w:szCs w:val="20"/>
              </w:rPr>
              <w:t xml:space="preserve">Model</w:t>
            </w:r>
          </w:p>
        </w:tc>
        <w:tc>
          <w:tcPr>
            <w:tcW w:type="dxa" w:w="1240"/>
            <w:shd w:fill="2E4A7D" w:color="auto" w:val="clear"/>
            <w:tcMar>
              <w:top w:type="dxa" w:w="70"/>
              <w:left w:type="dxa" w:w="110"/>
              <w:bottom w:type="dxa" w:w="70"/>
              <w:right w:type="dxa" w:w="110"/>
            </w:tcMar>
          </w:tcPr>
          <w:p>
            <w:pPr>
              <w:spacing w:after="0"/>
              <w:jc w:val="center"/>
            </w:pPr>
            <w:r>
              <w:rPr>
                <w:b/>
                <w:bCs/>
                <w:color w:val="FFFFFF"/>
                <w:sz w:val="20"/>
                <w:szCs w:val="20"/>
              </w:rPr>
              <w:t xml:space="preserve">Accuracy</w:t>
            </w:r>
          </w:p>
        </w:tc>
        <w:tc>
          <w:tcPr>
            <w:tcW w:type="dxa" w:w="1240"/>
            <w:shd w:fill="2E4A7D" w:color="auto" w:val="clear"/>
            <w:tcMar>
              <w:top w:type="dxa" w:w="70"/>
              <w:left w:type="dxa" w:w="110"/>
              <w:bottom w:type="dxa" w:w="70"/>
              <w:right w:type="dxa" w:w="110"/>
            </w:tcMar>
          </w:tcPr>
          <w:p>
            <w:pPr>
              <w:spacing w:after="0"/>
              <w:jc w:val="center"/>
            </w:pPr>
            <w:r>
              <w:rPr>
                <w:b/>
                <w:bCs/>
                <w:color w:val="FFFFFF"/>
                <w:sz w:val="20"/>
                <w:szCs w:val="20"/>
              </w:rPr>
              <w:t xml:space="preserve">Precision</w:t>
            </w:r>
          </w:p>
        </w:tc>
        <w:tc>
          <w:tcPr>
            <w:tcW w:type="dxa" w:w="1240"/>
            <w:shd w:fill="2E4A7D" w:color="auto" w:val="clear"/>
            <w:tcMar>
              <w:top w:type="dxa" w:w="70"/>
              <w:left w:type="dxa" w:w="110"/>
              <w:bottom w:type="dxa" w:w="70"/>
              <w:right w:type="dxa" w:w="110"/>
            </w:tcMar>
          </w:tcPr>
          <w:p>
            <w:pPr>
              <w:spacing w:after="0"/>
              <w:jc w:val="center"/>
            </w:pPr>
            <w:r>
              <w:rPr>
                <w:b/>
                <w:bCs/>
                <w:color w:val="FFFFFF"/>
                <w:sz w:val="20"/>
                <w:szCs w:val="20"/>
              </w:rPr>
              <w:t xml:space="preserve">Recall</w:t>
            </w:r>
          </w:p>
        </w:tc>
        <w:tc>
          <w:tcPr>
            <w:tcW w:type="dxa" w:w="1240"/>
            <w:shd w:fill="2E4A7D" w:color="auto" w:val="clear"/>
            <w:tcMar>
              <w:top w:type="dxa" w:w="70"/>
              <w:left w:type="dxa" w:w="110"/>
              <w:bottom w:type="dxa" w:w="70"/>
              <w:right w:type="dxa" w:w="110"/>
            </w:tcMar>
          </w:tcPr>
          <w:p>
            <w:pPr>
              <w:spacing w:after="0"/>
              <w:jc w:val="center"/>
            </w:pPr>
            <w:r>
              <w:rPr>
                <w:b/>
                <w:bCs/>
                <w:color w:val="FFFFFF"/>
                <w:sz w:val="20"/>
                <w:szCs w:val="20"/>
              </w:rPr>
              <w:t xml:space="preserve">F1</w:t>
            </w:r>
          </w:p>
        </w:tc>
        <w:tc>
          <w:tcPr>
            <w:tcW w:type="dxa" w:w="1240"/>
            <w:shd w:fill="2E4A7D" w:color="auto" w:val="clear"/>
            <w:tcMar>
              <w:top w:type="dxa" w:w="70"/>
              <w:left w:type="dxa" w:w="110"/>
              <w:bottom w:type="dxa" w:w="70"/>
              <w:right w:type="dxa" w:w="110"/>
            </w:tcMar>
          </w:tcPr>
          <w:p>
            <w:pPr>
              <w:spacing w:after="0"/>
              <w:jc w:val="center"/>
            </w:pPr>
            <w:r>
              <w:rPr>
                <w:b/>
                <w:bCs/>
                <w:color w:val="FFFFFF"/>
                <w:sz w:val="20"/>
                <w:szCs w:val="20"/>
              </w:rPr>
              <w:t xml:space="preserve">ROC-AUC</w:t>
            </w:r>
          </w:p>
        </w:tc>
      </w:tr>
      <w:tr>
        <w:trPr>
          <w:tblHeader w:val="false"/>
        </w:trPr>
        <w:tc>
          <w:tcPr>
            <w:tcW w:type="dxa" w:w="2300"/>
            <w:tcMar>
              <w:top w:type="dxa" w:w="70"/>
              <w:left w:type="dxa" w:w="110"/>
              <w:bottom w:type="dxa" w:w="70"/>
              <w:right w:type="dxa" w:w="110"/>
            </w:tcMar>
          </w:tcPr>
          <w:p>
            <w:pPr>
              <w:spacing w:after="0"/>
              <w:jc w:val="left"/>
            </w:pPr>
            <w:r>
              <w:rPr>
                <w:b/>
                <w:bCs/>
                <w:sz w:val="20"/>
                <w:szCs w:val="20"/>
              </w:rPr>
              <w:t xml:space="preserve">Logistic Regression</w:t>
            </w:r>
          </w:p>
        </w:tc>
        <w:tc>
          <w:tcPr>
            <w:tcW w:type="dxa" w:w="1240"/>
            <w:tcMar>
              <w:top w:type="dxa" w:w="70"/>
              <w:left w:type="dxa" w:w="110"/>
              <w:bottom w:type="dxa" w:w="70"/>
              <w:right w:type="dxa" w:w="110"/>
            </w:tcMar>
          </w:tcPr>
          <w:p>
            <w:pPr>
              <w:spacing w:after="0"/>
              <w:jc w:val="center"/>
            </w:pPr>
            <w:r>
              <w:rPr>
                <w:b w:val="false"/>
                <w:bCs w:val="false"/>
                <w:sz w:val="20"/>
                <w:szCs w:val="20"/>
              </w:rPr>
              <w:t xml:space="preserve">0.9853</w:t>
            </w:r>
          </w:p>
        </w:tc>
        <w:tc>
          <w:tcPr>
            <w:tcW w:type="dxa" w:w="1240"/>
            <w:tcMar>
              <w:top w:type="dxa" w:w="70"/>
              <w:left w:type="dxa" w:w="110"/>
              <w:bottom w:type="dxa" w:w="70"/>
              <w:right w:type="dxa" w:w="110"/>
            </w:tcMar>
          </w:tcPr>
          <w:p>
            <w:pPr>
              <w:spacing w:after="0"/>
              <w:jc w:val="center"/>
            </w:pPr>
            <w:r>
              <w:rPr>
                <w:b w:val="false"/>
                <w:bCs w:val="false"/>
                <w:sz w:val="20"/>
                <w:szCs w:val="20"/>
              </w:rPr>
              <w:t xml:space="preserve">0.9857</w:t>
            </w:r>
          </w:p>
        </w:tc>
        <w:tc>
          <w:tcPr>
            <w:tcW w:type="dxa" w:w="1240"/>
            <w:tcMar>
              <w:top w:type="dxa" w:w="70"/>
              <w:left w:type="dxa" w:w="110"/>
              <w:bottom w:type="dxa" w:w="70"/>
              <w:right w:type="dxa" w:w="110"/>
            </w:tcMar>
          </w:tcPr>
          <w:p>
            <w:pPr>
              <w:spacing w:after="0"/>
              <w:jc w:val="center"/>
            </w:pPr>
            <w:r>
              <w:rPr>
                <w:b w:val="false"/>
                <w:bCs w:val="false"/>
                <w:sz w:val="20"/>
                <w:szCs w:val="20"/>
              </w:rPr>
              <w:t xml:space="preserve">0.9861</w:t>
            </w:r>
          </w:p>
        </w:tc>
        <w:tc>
          <w:tcPr>
            <w:tcW w:type="dxa" w:w="1240"/>
            <w:tcMar>
              <w:top w:type="dxa" w:w="70"/>
              <w:left w:type="dxa" w:w="110"/>
              <w:bottom w:type="dxa" w:w="70"/>
              <w:right w:type="dxa" w:w="110"/>
            </w:tcMar>
          </w:tcPr>
          <w:p>
            <w:pPr>
              <w:spacing w:after="0"/>
              <w:jc w:val="center"/>
            </w:pPr>
            <w:r>
              <w:rPr>
                <w:b w:val="false"/>
                <w:bCs w:val="false"/>
                <w:sz w:val="20"/>
                <w:szCs w:val="20"/>
              </w:rPr>
              <w:t xml:space="preserve">0.9859</w:t>
            </w:r>
          </w:p>
        </w:tc>
        <w:tc>
          <w:tcPr>
            <w:tcW w:type="dxa" w:w="1240"/>
            <w:tcMar>
              <w:top w:type="dxa" w:w="70"/>
              <w:left w:type="dxa" w:w="110"/>
              <w:bottom w:type="dxa" w:w="70"/>
              <w:right w:type="dxa" w:w="110"/>
            </w:tcMar>
          </w:tcPr>
          <w:p>
            <w:pPr>
              <w:spacing w:after="0"/>
              <w:jc w:val="center"/>
            </w:pPr>
            <w:r>
              <w:rPr>
                <w:b w:val="false"/>
                <w:bCs w:val="false"/>
                <w:sz w:val="20"/>
                <w:szCs w:val="20"/>
              </w:rPr>
              <w:t xml:space="preserve">0.9986</w:t>
            </w:r>
          </w:p>
        </w:tc>
      </w:tr>
      <w:tr>
        <w:trPr>
          <w:tblHeader w:val="false"/>
        </w:trPr>
        <w:tc>
          <w:tcPr>
            <w:tcW w:type="dxa" w:w="2300"/>
            <w:shd w:fill="F2F4F8" w:color="auto" w:val="clear"/>
            <w:tcMar>
              <w:top w:type="dxa" w:w="70"/>
              <w:left w:type="dxa" w:w="110"/>
              <w:bottom w:type="dxa" w:w="70"/>
              <w:right w:type="dxa" w:w="110"/>
            </w:tcMar>
          </w:tcPr>
          <w:p>
            <w:pPr>
              <w:spacing w:after="0"/>
              <w:jc w:val="left"/>
            </w:pPr>
            <w:r>
              <w:rPr>
                <w:b/>
                <w:bCs/>
                <w:sz w:val="20"/>
                <w:szCs w:val="20"/>
              </w:rPr>
              <w:t xml:space="preserve">GRU</w:t>
            </w:r>
          </w:p>
        </w:tc>
        <w:tc>
          <w:tcPr>
            <w:tcW w:type="dxa" w:w="1240"/>
            <w:shd w:fill="F2F4F8" w:color="auto" w:val="clear"/>
            <w:tcMar>
              <w:top w:type="dxa" w:w="70"/>
              <w:left w:type="dxa" w:w="110"/>
              <w:bottom w:type="dxa" w:w="70"/>
              <w:right w:type="dxa" w:w="110"/>
            </w:tcMar>
          </w:tcPr>
          <w:p>
            <w:pPr>
              <w:spacing w:after="0"/>
              <w:jc w:val="center"/>
            </w:pPr>
            <w:r>
              <w:rPr>
                <w:b w:val="false"/>
                <w:bCs w:val="false"/>
                <w:sz w:val="20"/>
                <w:szCs w:val="20"/>
              </w:rPr>
              <w:t xml:space="preserve">0.9861</w:t>
            </w:r>
          </w:p>
        </w:tc>
        <w:tc>
          <w:tcPr>
            <w:tcW w:type="dxa" w:w="1240"/>
            <w:shd w:fill="F2F4F8" w:color="auto" w:val="clear"/>
            <w:tcMar>
              <w:top w:type="dxa" w:w="70"/>
              <w:left w:type="dxa" w:w="110"/>
              <w:bottom w:type="dxa" w:w="70"/>
              <w:right w:type="dxa" w:w="110"/>
            </w:tcMar>
          </w:tcPr>
          <w:p>
            <w:pPr>
              <w:spacing w:after="0"/>
              <w:jc w:val="center"/>
            </w:pPr>
            <w:r>
              <w:rPr>
                <w:b w:val="false"/>
                <w:bCs w:val="false"/>
                <w:sz w:val="20"/>
                <w:szCs w:val="20"/>
              </w:rPr>
              <w:t xml:space="preserve">0.9850</w:t>
            </w:r>
          </w:p>
        </w:tc>
        <w:tc>
          <w:tcPr>
            <w:tcW w:type="dxa" w:w="1240"/>
            <w:shd w:fill="F2F4F8" w:color="auto" w:val="clear"/>
            <w:tcMar>
              <w:top w:type="dxa" w:w="70"/>
              <w:left w:type="dxa" w:w="110"/>
              <w:bottom w:type="dxa" w:w="70"/>
              <w:right w:type="dxa" w:w="110"/>
            </w:tcMar>
          </w:tcPr>
          <w:p>
            <w:pPr>
              <w:spacing w:after="0"/>
              <w:jc w:val="center"/>
            </w:pPr>
            <w:r>
              <w:rPr>
                <w:b w:val="false"/>
                <w:bCs w:val="false"/>
                <w:sz w:val="20"/>
                <w:szCs w:val="20"/>
              </w:rPr>
              <w:t xml:space="preserve">0.9882</w:t>
            </w:r>
          </w:p>
        </w:tc>
        <w:tc>
          <w:tcPr>
            <w:tcW w:type="dxa" w:w="1240"/>
            <w:shd w:fill="F2F4F8" w:color="auto" w:val="clear"/>
            <w:tcMar>
              <w:top w:type="dxa" w:w="70"/>
              <w:left w:type="dxa" w:w="110"/>
              <w:bottom w:type="dxa" w:w="70"/>
              <w:right w:type="dxa" w:w="110"/>
            </w:tcMar>
          </w:tcPr>
          <w:p>
            <w:pPr>
              <w:spacing w:after="0"/>
              <w:jc w:val="center"/>
            </w:pPr>
            <w:r>
              <w:rPr>
                <w:b w:val="false"/>
                <w:bCs w:val="false"/>
                <w:sz w:val="20"/>
                <w:szCs w:val="20"/>
              </w:rPr>
              <w:t xml:space="preserve">0.9866</w:t>
            </w:r>
          </w:p>
        </w:tc>
        <w:tc>
          <w:tcPr>
            <w:tcW w:type="dxa" w:w="1240"/>
            <w:shd w:fill="F2F4F8" w:color="auto" w:val="clear"/>
            <w:tcMar>
              <w:top w:type="dxa" w:w="70"/>
              <w:left w:type="dxa" w:w="110"/>
              <w:bottom w:type="dxa" w:w="70"/>
              <w:right w:type="dxa" w:w="110"/>
            </w:tcMar>
          </w:tcPr>
          <w:p>
            <w:pPr>
              <w:spacing w:after="0"/>
              <w:jc w:val="center"/>
            </w:pPr>
            <w:r>
              <w:rPr>
                <w:b w:val="false"/>
                <w:bCs w:val="false"/>
                <w:sz w:val="20"/>
                <w:szCs w:val="20"/>
              </w:rPr>
              <w:t xml:space="preserve">0.9978</w:t>
            </w:r>
          </w:p>
        </w:tc>
      </w:tr>
    </w:tbl>
    <w:p>
      <w:pPr>
        <w:spacing w:after="160" w:line="276"/>
      </w:pPr>
      <w:r>
        <w:rPr>
          <w:sz w:val="22"/>
          <w:szCs w:val="22"/>
        </w:rPr>
        <w:t xml:space="preserve">Both models were trained and evaluated on identical splits with a fixed random seed of 42, so the comparison is like for like.</w:t>
      </w:r>
    </w:p>
    <w:p>
      <w:pPr>
        <w:spacing w:after="60" w:before="16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781300"/>
                    </a:xfrm>
                    <a:prstGeom prst="rect">
                      <a:avLst/>
                    </a:prstGeom>
                  </pic:spPr>
                </pic:pic>
              </a:graphicData>
            </a:graphic>
          </wp:inline>
        </w:drawing>
      </w:r>
    </w:p>
    <w:p>
      <w:pPr>
        <w:spacing w:after="220"/>
        <w:jc w:val="center"/>
      </w:pPr>
      <w:r>
        <w:rPr>
          <w:i/>
          <w:iCs/>
          <w:color w:val="5A6474"/>
          <w:sz w:val="18"/>
          <w:szCs w:val="18"/>
        </w:rPr>
        <w:t xml:space="preserve">Figure 6 — ROC curves for both models. The two are near-indistinguishable.</w:t>
      </w:r>
    </w:p>
    <w:p>
      <w:pPr>
        <w:pStyle w:val="Heading2"/>
        <w:spacing w:after="140" w:before="260"/>
      </w:pPr>
      <w:r>
        <w:rPr>
          <w:b/>
          <w:bCs/>
          <w:color w:val="2E4A7D"/>
          <w:sz w:val="25"/>
          <w:szCs w:val="25"/>
        </w:rPr>
        <w:t xml:space="preserve">4.1 The headline finding</w:t>
      </w:r>
    </w:p>
    <w:p>
      <w:pPr>
        <w:spacing w:after="140" w:line="276"/>
      </w:pPr>
      <w:r>
        <w:rPr>
          <w:sz w:val="22"/>
          <w:szCs w:val="22"/>
        </w:rPr>
        <w:t xml:space="preserve">The two models are separated by 0.07 percentage points of F1. On this dataset, a 2.7-million-parameter recurrent network trained for twelve minutes offers no meaningful accuracy advantage over a linear model that trains in seconds. Logistic Regression in fact holds the higher ROC-AUC, at 0.9986 against 0.9978, meaning its ranking of emails by phishing probability is marginally better across all decision thresholds.</w:t>
      </w:r>
    </w:p>
    <w:p>
      <w:pPr>
        <w:spacing w:after="140" w:line="276"/>
      </w:pPr>
      <w:r>
        <w:rPr>
          <w:sz w:val="22"/>
          <w:szCs w:val="22"/>
        </w:rPr>
        <w:t xml:space="preserve">This is a useful negative result rather than a disappointing one. It indicates that phishing emails in this corpus are largely separable from vocabulary alone, and that the sequential context a recurrent model adds contributes little beyond what a bag of unigrams and bigrams already captures.</w:t>
      </w:r>
    </w:p>
    <w:p>
      <w:pPr>
        <w:pStyle w:val="Heading2"/>
        <w:spacing w:after="140" w:before="260"/>
      </w:pPr>
      <w:r>
        <w:rPr>
          <w:b/>
          <w:bCs/>
          <w:color w:val="2E4A7D"/>
          <w:sz w:val="25"/>
          <w:szCs w:val="25"/>
        </w:rPr>
        <w:t xml:space="preserve">4.2 Error profiles</w:t>
      </w:r>
    </w:p>
    <w:p>
      <w:pPr>
        <w:spacing w:after="140" w:line="276"/>
      </w:pPr>
      <w:r>
        <w:rPr>
          <w:sz w:val="22"/>
          <w:szCs w:val="22"/>
        </w:rPr>
        <w:t xml:space="preserve">The aggregate scores conceal a difference in the kind of mistakes each model makes.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600"/>
        <w:gridCol w:w="1970"/>
        <w:gridCol w:w="1970"/>
        <w:gridCol w:w="1960"/>
      </w:tblGrid>
      <w:tr>
        <w:trPr>
          <w:tblHeader/>
        </w:trPr>
        <w:tc>
          <w:tcPr>
            <w:tcW w:type="dxa" w:w="2600"/>
            <w:shd w:fill="2E4A7D" w:color="auto" w:val="clear"/>
            <w:tcMar>
              <w:top w:type="dxa" w:w="70"/>
              <w:left w:type="dxa" w:w="110"/>
              <w:bottom w:type="dxa" w:w="70"/>
              <w:right w:type="dxa" w:w="110"/>
            </w:tcMar>
          </w:tcPr>
          <w:p>
            <w:pPr>
              <w:spacing w:after="0"/>
              <w:jc w:val="left"/>
            </w:pPr>
            <w:r>
              <w:rPr>
                <w:b/>
                <w:bCs/>
                <w:color w:val="FFFFFF"/>
                <w:sz w:val="20"/>
                <w:szCs w:val="20"/>
              </w:rPr>
              <w:t xml:space="preserve"/>
            </w:r>
          </w:p>
        </w:tc>
        <w:tc>
          <w:tcPr>
            <w:tcW w:type="dxa" w:w="1970"/>
            <w:shd w:fill="2E4A7D" w:color="auto" w:val="clear"/>
            <w:tcMar>
              <w:top w:type="dxa" w:w="70"/>
              <w:left w:type="dxa" w:w="110"/>
              <w:bottom w:type="dxa" w:w="70"/>
              <w:right w:type="dxa" w:w="110"/>
            </w:tcMar>
          </w:tcPr>
          <w:p>
            <w:pPr>
              <w:spacing w:after="0"/>
              <w:jc w:val="center"/>
            </w:pPr>
            <w:r>
              <w:rPr>
                <w:b/>
                <w:bCs/>
                <w:color w:val="FFFFFF"/>
                <w:sz w:val="20"/>
                <w:szCs w:val="20"/>
              </w:rPr>
              <w:t xml:space="preserve">False positives</w:t>
            </w:r>
          </w:p>
        </w:tc>
        <w:tc>
          <w:tcPr>
            <w:tcW w:type="dxa" w:w="1970"/>
            <w:shd w:fill="2E4A7D" w:color="auto" w:val="clear"/>
            <w:tcMar>
              <w:top w:type="dxa" w:w="70"/>
              <w:left w:type="dxa" w:w="110"/>
              <w:bottom w:type="dxa" w:w="70"/>
              <w:right w:type="dxa" w:w="110"/>
            </w:tcMar>
          </w:tcPr>
          <w:p>
            <w:pPr>
              <w:spacing w:after="0"/>
              <w:jc w:val="center"/>
            </w:pPr>
            <w:r>
              <w:rPr>
                <w:b/>
                <w:bCs/>
                <w:color w:val="FFFFFF"/>
                <w:sz w:val="20"/>
                <w:szCs w:val="20"/>
              </w:rPr>
              <w:t xml:space="preserve">False negatives</w:t>
            </w:r>
          </w:p>
        </w:tc>
        <w:tc>
          <w:tcPr>
            <w:tcW w:type="dxa" w:w="1960"/>
            <w:shd w:fill="2E4A7D" w:color="auto" w:val="clear"/>
            <w:tcMar>
              <w:top w:type="dxa" w:w="70"/>
              <w:left w:type="dxa" w:w="110"/>
              <w:bottom w:type="dxa" w:w="70"/>
              <w:right w:type="dxa" w:w="110"/>
            </w:tcMar>
          </w:tcPr>
          <w:p>
            <w:pPr>
              <w:spacing w:after="0"/>
              <w:jc w:val="center"/>
            </w:pPr>
            <w:r>
              <w:rPr>
                <w:b/>
                <w:bCs/>
                <w:color w:val="FFFFFF"/>
                <w:sz w:val="20"/>
                <w:szCs w:val="20"/>
              </w:rPr>
              <w:t xml:space="preserve">Total errors</w:t>
            </w:r>
          </w:p>
        </w:tc>
      </w:tr>
      <w:tr>
        <w:trPr>
          <w:tblHeader w:val="false"/>
        </w:trPr>
        <w:tc>
          <w:tcPr>
            <w:tcW w:type="dxa" w:w="2600"/>
            <w:tcMar>
              <w:top w:type="dxa" w:w="70"/>
              <w:left w:type="dxa" w:w="110"/>
              <w:bottom w:type="dxa" w:w="70"/>
              <w:right w:type="dxa" w:w="110"/>
            </w:tcMar>
          </w:tcPr>
          <w:p>
            <w:pPr>
              <w:spacing w:after="0"/>
              <w:jc w:val="left"/>
            </w:pPr>
            <w:r>
              <w:rPr>
                <w:b/>
                <w:bCs/>
                <w:sz w:val="20"/>
                <w:szCs w:val="20"/>
              </w:rPr>
              <w:t xml:space="preserve">Logistic Regression</w:t>
            </w:r>
          </w:p>
        </w:tc>
        <w:tc>
          <w:tcPr>
            <w:tcW w:type="dxa" w:w="1970"/>
            <w:tcMar>
              <w:top w:type="dxa" w:w="70"/>
              <w:left w:type="dxa" w:w="110"/>
              <w:bottom w:type="dxa" w:w="70"/>
              <w:right w:type="dxa" w:w="110"/>
            </w:tcMar>
          </w:tcPr>
          <w:p>
            <w:pPr>
              <w:spacing w:after="0"/>
              <w:jc w:val="center"/>
            </w:pPr>
            <w:r>
              <w:rPr>
                <w:b w:val="false"/>
                <w:bCs w:val="false"/>
                <w:sz w:val="20"/>
                <w:szCs w:val="20"/>
              </w:rPr>
              <w:t xml:space="preserve">123</w:t>
            </w:r>
          </w:p>
        </w:tc>
        <w:tc>
          <w:tcPr>
            <w:tcW w:type="dxa" w:w="1970"/>
            <w:tcMar>
              <w:top w:type="dxa" w:w="70"/>
              <w:left w:type="dxa" w:w="110"/>
              <w:bottom w:type="dxa" w:w="70"/>
              <w:right w:type="dxa" w:w="110"/>
            </w:tcMar>
          </w:tcPr>
          <w:p>
            <w:pPr>
              <w:spacing w:after="0"/>
              <w:jc w:val="center"/>
            </w:pPr>
            <w:r>
              <w:rPr>
                <w:b w:val="false"/>
                <w:bCs w:val="false"/>
                <w:sz w:val="20"/>
                <w:szCs w:val="20"/>
              </w:rPr>
              <w:t xml:space="preserve">119</w:t>
            </w:r>
          </w:p>
        </w:tc>
        <w:tc>
          <w:tcPr>
            <w:tcW w:type="dxa" w:w="1960"/>
            <w:tcMar>
              <w:top w:type="dxa" w:w="70"/>
              <w:left w:type="dxa" w:w="110"/>
              <w:bottom w:type="dxa" w:w="70"/>
              <w:right w:type="dxa" w:w="110"/>
            </w:tcMar>
          </w:tcPr>
          <w:p>
            <w:pPr>
              <w:spacing w:after="0"/>
              <w:jc w:val="center"/>
            </w:pPr>
            <w:r>
              <w:rPr>
                <w:b w:val="false"/>
                <w:bCs w:val="false"/>
                <w:sz w:val="20"/>
                <w:szCs w:val="20"/>
              </w:rPr>
              <w:t xml:space="preserve">242</w:t>
            </w:r>
          </w:p>
        </w:tc>
      </w:tr>
      <w:tr>
        <w:trPr>
          <w:tblHeader w:val="false"/>
        </w:trPr>
        <w:tc>
          <w:tcPr>
            <w:tcW w:type="dxa" w:w="2600"/>
            <w:shd w:fill="F2F4F8" w:color="auto" w:val="clear"/>
            <w:tcMar>
              <w:top w:type="dxa" w:w="70"/>
              <w:left w:type="dxa" w:w="110"/>
              <w:bottom w:type="dxa" w:w="70"/>
              <w:right w:type="dxa" w:w="110"/>
            </w:tcMar>
          </w:tcPr>
          <w:p>
            <w:pPr>
              <w:spacing w:after="0"/>
              <w:jc w:val="left"/>
            </w:pPr>
            <w:r>
              <w:rPr>
                <w:b/>
                <w:bCs/>
                <w:sz w:val="20"/>
                <w:szCs w:val="20"/>
              </w:rPr>
              <w:t xml:space="preserve">GRU</w:t>
            </w:r>
          </w:p>
        </w:tc>
        <w:tc>
          <w:tcPr>
            <w:tcW w:type="dxa" w:w="1970"/>
            <w:shd w:fill="F2F4F8" w:color="auto" w:val="clear"/>
            <w:tcMar>
              <w:top w:type="dxa" w:w="70"/>
              <w:left w:type="dxa" w:w="110"/>
              <w:bottom w:type="dxa" w:w="70"/>
              <w:right w:type="dxa" w:w="110"/>
            </w:tcMar>
          </w:tcPr>
          <w:p>
            <w:pPr>
              <w:spacing w:after="0"/>
              <w:jc w:val="center"/>
            </w:pPr>
            <w:r>
              <w:rPr>
                <w:b w:val="false"/>
                <w:bCs w:val="false"/>
                <w:sz w:val="20"/>
                <w:szCs w:val="20"/>
              </w:rPr>
              <w:t xml:space="preserve">129</w:t>
            </w:r>
          </w:p>
        </w:tc>
        <w:tc>
          <w:tcPr>
            <w:tcW w:type="dxa" w:w="1970"/>
            <w:shd w:fill="F2F4F8" w:color="auto" w:val="clear"/>
            <w:tcMar>
              <w:top w:type="dxa" w:w="70"/>
              <w:left w:type="dxa" w:w="110"/>
              <w:bottom w:type="dxa" w:w="70"/>
              <w:right w:type="dxa" w:w="110"/>
            </w:tcMar>
          </w:tcPr>
          <w:p>
            <w:pPr>
              <w:spacing w:after="0"/>
              <w:jc w:val="center"/>
            </w:pPr>
            <w:r>
              <w:rPr>
                <w:b w:val="false"/>
                <w:bCs w:val="false"/>
                <w:sz w:val="20"/>
                <w:szCs w:val="20"/>
              </w:rPr>
              <w:t xml:space="preserve">101</w:t>
            </w:r>
          </w:p>
        </w:tc>
        <w:tc>
          <w:tcPr>
            <w:tcW w:type="dxa" w:w="1960"/>
            <w:shd w:fill="F2F4F8" w:color="auto" w:val="clear"/>
            <w:tcMar>
              <w:top w:type="dxa" w:w="70"/>
              <w:left w:type="dxa" w:w="110"/>
              <w:bottom w:type="dxa" w:w="70"/>
              <w:right w:type="dxa" w:w="110"/>
            </w:tcMar>
          </w:tcPr>
          <w:p>
            <w:pPr>
              <w:spacing w:after="0"/>
              <w:jc w:val="center"/>
            </w:pPr>
            <w:r>
              <w:rPr>
                <w:b w:val="false"/>
                <w:bCs w:val="false"/>
                <w:sz w:val="20"/>
                <w:szCs w:val="20"/>
              </w:rPr>
              <w:t xml:space="preserve">230</w:t>
            </w:r>
          </w:p>
        </w:tc>
      </w:tr>
    </w:tbl>
    <w:p>
      <w:pPr>
        <w:spacing w:after="140" w:line="276"/>
      </w:pPr>
      <w:r>
        <w:rPr>
          <w:sz w:val="22"/>
          <w:szCs w:val="22"/>
        </w:rPr>
        <w:t xml:space="preserve">The GRU caught 18 more phishing emails than Logistic Regression, at a cost of 6 additional false alarms. For a phishing filter these two errors are not equally serious: a false negative reaches the user's inbox and may lead to a compromise, whereas a false positive sends a legitimate email to a quarantine folder where it can be recovered. On that reading the GRU has the preferable error profile — though a difference of 18 emails in 16,497 is small enough that it may not survive a change of random seed, and this should not be presented as a robust finding without repeated runs.</w:t>
      </w:r>
    </w:p>
    <w:p>
      <w:pPr>
        <w:pStyle w:val="Heading2"/>
        <w:spacing w:after="140" w:before="260"/>
      </w:pPr>
      <w:r>
        <w:rPr>
          <w:b/>
          <w:bCs/>
          <w:color w:val="2E4A7D"/>
          <w:sz w:val="25"/>
          <w:szCs w:val="25"/>
        </w:rPr>
        <w:t xml:space="preserve">4.3 Trade-offs</w:t>
      </w:r>
    </w:p>
    <w:tbl>
      <w:tblPr>
        <w:tblW w:type="dxa" w:w="8500"/>
        <w:tblBorders>
          <w:top w:val="single" w:color="BFC7D4" w:sz="2"/>
          <w:left w:val="single" w:color="BFC7D4" w:sz="2"/>
          <w:bottom w:val="single" w:color="BFC7D4" w:sz="2"/>
          <w:right w:val="single" w:color="BFC7D4" w:sz="2"/>
          <w:insideH w:val="single" w:color="D7DCE5" w:sz="1"/>
          <w:insideV w:val="single" w:color="D7DCE5" w:sz="1"/>
        </w:tblBorders>
      </w:tblPr>
      <w:tblGrid>
        <w:gridCol w:w="2400"/>
        <w:gridCol w:w="3050"/>
        <w:gridCol w:w="3050"/>
      </w:tblGrid>
      <w:tr>
        <w:trPr>
          <w:tblHeader/>
        </w:trPr>
        <w:tc>
          <w:tcPr>
            <w:tcW w:type="dxa" w:w="2400"/>
            <w:shd w:fill="2E4A7D" w:color="auto" w:val="clear"/>
            <w:tcMar>
              <w:top w:type="dxa" w:w="70"/>
              <w:left w:type="dxa" w:w="110"/>
              <w:bottom w:type="dxa" w:w="70"/>
              <w:right w:type="dxa" w:w="110"/>
            </w:tcMar>
          </w:tcPr>
          <w:p>
            <w:pPr>
              <w:spacing w:after="0"/>
              <w:jc w:val="left"/>
            </w:pPr>
            <w:r>
              <w:rPr>
                <w:b/>
                <w:bCs/>
                <w:color w:val="FFFFFF"/>
                <w:sz w:val="20"/>
                <w:szCs w:val="20"/>
              </w:rPr>
              <w:t xml:space="preserve"/>
            </w:r>
          </w:p>
        </w:tc>
        <w:tc>
          <w:tcPr>
            <w:tcW w:type="dxa" w:w="3050"/>
            <w:shd w:fill="2E4A7D" w:color="auto" w:val="clear"/>
            <w:tcMar>
              <w:top w:type="dxa" w:w="70"/>
              <w:left w:type="dxa" w:w="110"/>
              <w:bottom w:type="dxa" w:w="70"/>
              <w:right w:type="dxa" w:w="110"/>
            </w:tcMar>
          </w:tcPr>
          <w:p>
            <w:pPr>
              <w:spacing w:after="0"/>
              <w:jc w:val="center"/>
            </w:pPr>
            <w:r>
              <w:rPr>
                <w:b/>
                <w:bCs/>
                <w:color w:val="FFFFFF"/>
                <w:sz w:val="20"/>
                <w:szCs w:val="20"/>
              </w:rPr>
              <w:t xml:space="preserve">Logistic Regression</w:t>
            </w:r>
          </w:p>
        </w:tc>
        <w:tc>
          <w:tcPr>
            <w:tcW w:type="dxa" w:w="3050"/>
            <w:shd w:fill="2E4A7D" w:color="auto" w:val="clear"/>
            <w:tcMar>
              <w:top w:type="dxa" w:w="70"/>
              <w:left w:type="dxa" w:w="110"/>
              <w:bottom w:type="dxa" w:w="70"/>
              <w:right w:type="dxa" w:w="110"/>
            </w:tcMar>
          </w:tcPr>
          <w:p>
            <w:pPr>
              <w:spacing w:after="0"/>
              <w:jc w:val="center"/>
            </w:pPr>
            <w:r>
              <w:rPr>
                <w:b/>
                <w:bCs/>
                <w:color w:val="FFFFFF"/>
                <w:sz w:val="20"/>
                <w:szCs w:val="20"/>
              </w:rPr>
              <w:t xml:space="preserve">GRU</w:t>
            </w:r>
          </w:p>
        </w:tc>
      </w:tr>
      <w:tr>
        <w:trPr>
          <w:tblHeader w:val="false"/>
        </w:trPr>
        <w:tc>
          <w:tcPr>
            <w:tcW w:type="dxa" w:w="2400"/>
            <w:tcMar>
              <w:top w:type="dxa" w:w="70"/>
              <w:left w:type="dxa" w:w="110"/>
              <w:bottom w:type="dxa" w:w="70"/>
              <w:right w:type="dxa" w:w="110"/>
            </w:tcMar>
          </w:tcPr>
          <w:p>
            <w:pPr>
              <w:spacing w:after="0"/>
              <w:jc w:val="left"/>
            </w:pPr>
            <w:r>
              <w:rPr>
                <w:b/>
                <w:bCs/>
                <w:sz w:val="20"/>
                <w:szCs w:val="20"/>
              </w:rPr>
              <w:t xml:space="preserve">Training time</w:t>
            </w:r>
          </w:p>
        </w:tc>
        <w:tc>
          <w:tcPr>
            <w:tcW w:type="dxa" w:w="3050"/>
            <w:tcMar>
              <w:top w:type="dxa" w:w="70"/>
              <w:left w:type="dxa" w:w="110"/>
              <w:bottom w:type="dxa" w:w="70"/>
              <w:right w:type="dxa" w:w="110"/>
            </w:tcMar>
          </w:tcPr>
          <w:p>
            <w:pPr>
              <w:spacing w:after="0"/>
              <w:jc w:val="center"/>
            </w:pPr>
            <w:r>
              <w:rPr>
                <w:b w:val="false"/>
                <w:bCs w:val="false"/>
                <w:sz w:val="20"/>
                <w:szCs w:val="20"/>
              </w:rPr>
              <w:t xml:space="preserve">Seconds</w:t>
            </w:r>
          </w:p>
        </w:tc>
        <w:tc>
          <w:tcPr>
            <w:tcW w:type="dxa" w:w="3050"/>
            <w:tcMar>
              <w:top w:type="dxa" w:w="70"/>
              <w:left w:type="dxa" w:w="110"/>
              <w:bottom w:type="dxa" w:w="70"/>
              <w:right w:type="dxa" w:w="110"/>
            </w:tcMar>
          </w:tcPr>
          <w:p>
            <w:pPr>
              <w:spacing w:after="0"/>
              <w:jc w:val="center"/>
            </w:pPr>
            <w:r>
              <w:rPr>
                <w:b w:val="false"/>
                <w:bCs w:val="false"/>
                <w:sz w:val="20"/>
                <w:szCs w:val="20"/>
              </w:rPr>
              <w:t xml:space="preserve">12.1 minutes</w:t>
            </w:r>
          </w:p>
        </w:tc>
      </w:tr>
      <w:tr>
        <w:trPr>
          <w:tblHeader w:val="false"/>
        </w:trPr>
        <w:tc>
          <w:tcPr>
            <w:tcW w:type="dxa" w:w="2400"/>
            <w:shd w:fill="F2F4F8" w:color="auto" w:val="clear"/>
            <w:tcMar>
              <w:top w:type="dxa" w:w="70"/>
              <w:left w:type="dxa" w:w="110"/>
              <w:bottom w:type="dxa" w:w="70"/>
              <w:right w:type="dxa" w:w="110"/>
            </w:tcMar>
          </w:tcPr>
          <w:p>
            <w:pPr>
              <w:spacing w:after="0"/>
              <w:jc w:val="left"/>
            </w:pPr>
            <w:r>
              <w:rPr>
                <w:b/>
                <w:bCs/>
                <w:sz w:val="20"/>
                <w:szCs w:val="20"/>
              </w:rPr>
              <w:t xml:space="preserve">Parameters</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10,000 weights</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2,667,393</w:t>
            </w:r>
          </w:p>
        </w:tc>
      </w:tr>
      <w:tr>
        <w:trPr>
          <w:tblHeader w:val="false"/>
        </w:trPr>
        <w:tc>
          <w:tcPr>
            <w:tcW w:type="dxa" w:w="2400"/>
            <w:tcMar>
              <w:top w:type="dxa" w:w="70"/>
              <w:left w:type="dxa" w:w="110"/>
              <w:bottom w:type="dxa" w:w="70"/>
              <w:right w:type="dxa" w:w="110"/>
            </w:tcMar>
          </w:tcPr>
          <w:p>
            <w:pPr>
              <w:spacing w:after="0"/>
              <w:jc w:val="left"/>
            </w:pPr>
            <w:r>
              <w:rPr>
                <w:b/>
                <w:bCs/>
                <w:sz w:val="20"/>
                <w:szCs w:val="20"/>
              </w:rPr>
              <w:t xml:space="preserve">Hardware</w:t>
            </w:r>
          </w:p>
        </w:tc>
        <w:tc>
          <w:tcPr>
            <w:tcW w:type="dxa" w:w="3050"/>
            <w:tcMar>
              <w:top w:type="dxa" w:w="70"/>
              <w:left w:type="dxa" w:w="110"/>
              <w:bottom w:type="dxa" w:w="70"/>
              <w:right w:type="dxa" w:w="110"/>
            </w:tcMar>
          </w:tcPr>
          <w:p>
            <w:pPr>
              <w:spacing w:after="0"/>
              <w:jc w:val="center"/>
            </w:pPr>
            <w:r>
              <w:rPr>
                <w:b w:val="false"/>
                <w:bCs w:val="false"/>
                <w:sz w:val="20"/>
                <w:szCs w:val="20"/>
              </w:rPr>
              <w:t xml:space="preserve">CPU</w:t>
            </w:r>
          </w:p>
        </w:tc>
        <w:tc>
          <w:tcPr>
            <w:tcW w:type="dxa" w:w="3050"/>
            <w:tcMar>
              <w:top w:type="dxa" w:w="70"/>
              <w:left w:type="dxa" w:w="110"/>
              <w:bottom w:type="dxa" w:w="70"/>
              <w:right w:type="dxa" w:w="110"/>
            </w:tcMar>
          </w:tcPr>
          <w:p>
            <w:pPr>
              <w:spacing w:after="0"/>
              <w:jc w:val="center"/>
            </w:pPr>
            <w:r>
              <w:rPr>
                <w:b w:val="false"/>
                <w:bCs w:val="false"/>
                <w:sz w:val="20"/>
                <w:szCs w:val="20"/>
              </w:rPr>
              <w:t xml:space="preserve">GPU strongly preferred</w:t>
            </w:r>
          </w:p>
        </w:tc>
      </w:tr>
      <w:tr>
        <w:trPr>
          <w:tblHeader w:val="false"/>
        </w:trPr>
        <w:tc>
          <w:tcPr>
            <w:tcW w:type="dxa" w:w="2400"/>
            <w:shd w:fill="F2F4F8" w:color="auto" w:val="clear"/>
            <w:tcMar>
              <w:top w:type="dxa" w:w="70"/>
              <w:left w:type="dxa" w:w="110"/>
              <w:bottom w:type="dxa" w:w="70"/>
              <w:right w:type="dxa" w:w="110"/>
            </w:tcMar>
          </w:tcPr>
          <w:p>
            <w:pPr>
              <w:spacing w:after="0"/>
              <w:jc w:val="left"/>
            </w:pPr>
            <w:r>
              <w:rPr>
                <w:b/>
                <w:bCs/>
                <w:sz w:val="20"/>
                <w:szCs w:val="20"/>
              </w:rPr>
              <w:t xml:space="preserve">Interpretability</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Direct — one weight per term</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Opaque</w:t>
            </w:r>
          </w:p>
        </w:tc>
      </w:tr>
      <w:tr>
        <w:trPr>
          <w:tblHeader w:val="false"/>
        </w:trPr>
        <w:tc>
          <w:tcPr>
            <w:tcW w:type="dxa" w:w="2400"/>
            <w:tcMar>
              <w:top w:type="dxa" w:w="70"/>
              <w:left w:type="dxa" w:w="110"/>
              <w:bottom w:type="dxa" w:w="70"/>
              <w:right w:type="dxa" w:w="110"/>
            </w:tcMar>
          </w:tcPr>
          <w:p>
            <w:pPr>
              <w:spacing w:after="0"/>
              <w:jc w:val="left"/>
            </w:pPr>
            <w:r>
              <w:rPr>
                <w:b/>
                <w:bCs/>
                <w:sz w:val="20"/>
                <w:szCs w:val="20"/>
              </w:rPr>
              <w:t xml:space="preserve">Word order</w:t>
            </w:r>
          </w:p>
        </w:tc>
        <w:tc>
          <w:tcPr>
            <w:tcW w:type="dxa" w:w="3050"/>
            <w:tcMar>
              <w:top w:type="dxa" w:w="70"/>
              <w:left w:type="dxa" w:w="110"/>
              <w:bottom w:type="dxa" w:w="70"/>
              <w:right w:type="dxa" w:w="110"/>
            </w:tcMar>
          </w:tcPr>
          <w:p>
            <w:pPr>
              <w:spacing w:after="0"/>
              <w:jc w:val="center"/>
            </w:pPr>
            <w:r>
              <w:rPr>
                <w:b w:val="false"/>
                <w:bCs w:val="false"/>
                <w:sz w:val="20"/>
                <w:szCs w:val="20"/>
              </w:rPr>
              <w:t xml:space="preserve">Discarded</w:t>
            </w:r>
          </w:p>
        </w:tc>
        <w:tc>
          <w:tcPr>
            <w:tcW w:type="dxa" w:w="3050"/>
            <w:tcMar>
              <w:top w:type="dxa" w:w="70"/>
              <w:left w:type="dxa" w:w="110"/>
              <w:bottom w:type="dxa" w:w="70"/>
              <w:right w:type="dxa" w:w="110"/>
            </w:tcMar>
          </w:tcPr>
          <w:p>
            <w:pPr>
              <w:spacing w:after="0"/>
              <w:jc w:val="center"/>
            </w:pPr>
            <w:r>
              <w:rPr>
                <w:b w:val="false"/>
                <w:bCs w:val="false"/>
                <w:sz w:val="20"/>
                <w:szCs w:val="20"/>
              </w:rPr>
              <w:t xml:space="preserve">Modelled</w:t>
            </w:r>
          </w:p>
        </w:tc>
      </w:tr>
      <w:tr>
        <w:trPr>
          <w:tblHeader w:val="false"/>
        </w:trPr>
        <w:tc>
          <w:tcPr>
            <w:tcW w:type="dxa" w:w="2400"/>
            <w:shd w:fill="F2F4F8" w:color="auto" w:val="clear"/>
            <w:tcMar>
              <w:top w:type="dxa" w:w="70"/>
              <w:left w:type="dxa" w:w="110"/>
              <w:bottom w:type="dxa" w:w="70"/>
              <w:right w:type="dxa" w:w="110"/>
            </w:tcMar>
          </w:tcPr>
          <w:p>
            <w:pPr>
              <w:spacing w:after="0"/>
              <w:jc w:val="left"/>
            </w:pPr>
            <w:r>
              <w:rPr>
                <w:b/>
                <w:bCs/>
                <w:sz w:val="20"/>
                <w:szCs w:val="20"/>
              </w:rPr>
              <w:t xml:space="preserve">Input length limit</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None</w:t>
            </w:r>
          </w:p>
        </w:tc>
        <w:tc>
          <w:tcPr>
            <w:tcW w:type="dxa" w:w="3050"/>
            <w:shd w:fill="F2F4F8" w:color="auto" w:val="clear"/>
            <w:tcMar>
              <w:top w:type="dxa" w:w="70"/>
              <w:left w:type="dxa" w:w="110"/>
              <w:bottom w:type="dxa" w:w="70"/>
              <w:right w:type="dxa" w:w="110"/>
            </w:tcMar>
          </w:tcPr>
          <w:p>
            <w:pPr>
              <w:spacing w:after="0"/>
              <w:jc w:val="center"/>
            </w:pPr>
            <w:r>
              <w:rPr>
                <w:b w:val="false"/>
                <w:bCs w:val="false"/>
                <w:sz w:val="20"/>
                <w:szCs w:val="20"/>
              </w:rPr>
              <w:t xml:space="preserve">Truncated at 200 tokens</w:t>
            </w:r>
          </w:p>
        </w:tc>
      </w:tr>
    </w:tbl>
    <w:p>
      <w:pPr>
        <w:spacing w:after="140" w:line="276"/>
      </w:pPr>
      <w:r>
        <w:rPr>
          <w:sz w:val="22"/>
          <w:szCs w:val="22"/>
        </w:rPr>
        <w:t xml:space="preserve">For deployment inside the PhishGuard application, Logistic Regression is the stronger candidate despite the GRU's marginally better recall. It is faster at inference, has no GPU dependency, and its coefficients supply the per-word explanation the application is designed to show the user. The GRU's value in this project is as a point of comparison: it establishes that the simpler model is not leaving accuracy on the table.</w:t>
      </w:r>
    </w:p>
    <w:p>
      <w:pPr>
        <w:pStyle w:val="Heading2"/>
        <w:spacing w:after="140" w:before="260"/>
      </w:pPr>
      <w:r>
        <w:rPr>
          <w:b/>
          <w:bCs/>
          <w:color w:val="2E4A7D"/>
          <w:sz w:val="25"/>
          <w:szCs w:val="25"/>
        </w:rPr>
        <w:t xml:space="preserve">4.4 Threats to validity</w:t>
      </w:r>
    </w:p>
    <w:p>
      <w:pPr>
        <w:pStyle w:val="ListParagraph"/>
        <w:numPr>
          <w:ilvl w:val="0"/>
          <w:numId w:val="2"/>
        </w:numPr>
        <w:spacing w:after="80" w:line="276"/>
      </w:pPr>
      <w:r>
        <w:rPr>
          <w:sz w:val="22"/>
          <w:szCs w:val="22"/>
        </w:rPr>
        <w:t xml:space="preserve">Corpus provenance leakage. As set out in Section 1.5, class membership correlates with source corpus, and the Logistic Regression coefficients confirm the models exploit this. Real-world performance would be lower.</w:t>
      </w:r>
    </w:p>
    <w:p>
      <w:pPr>
        <w:pStyle w:val="ListParagraph"/>
        <w:numPr>
          <w:ilvl w:val="0"/>
          <w:numId w:val="2"/>
        </w:numPr>
        <w:spacing w:after="80" w:line="276"/>
      </w:pPr>
      <w:r>
        <w:rPr>
          <w:sz w:val="22"/>
          <w:szCs w:val="22"/>
        </w:rPr>
        <w:t xml:space="preserve">Single split. All figures come from one 80/20 split with one seed. The 10-fold cross-validation on the training set gives some confidence for Logistic Regression (0.9832 ± 0.0023), but the GRU was not cross-validated, as the compute cost was prohibitive.</w:t>
      </w:r>
    </w:p>
    <w:p>
      <w:pPr>
        <w:pStyle w:val="ListParagraph"/>
        <w:numPr>
          <w:ilvl w:val="0"/>
          <w:numId w:val="2"/>
        </w:numPr>
        <w:spacing w:after="80" w:line="276"/>
      </w:pPr>
      <w:r>
        <w:rPr>
          <w:sz w:val="22"/>
          <w:szCs w:val="22"/>
        </w:rPr>
        <w:t xml:space="preserve">Truncation. 16.3% of emails exceed the 200-token sequence limit, so the GRU never sees the ends of longer messages. The effect of a longer limit was not measured.</w:t>
      </w:r>
    </w:p>
    <w:p>
      <w:pPr>
        <w:pStyle w:val="ListParagraph"/>
        <w:numPr>
          <w:ilvl w:val="0"/>
          <w:numId w:val="2"/>
        </w:numPr>
        <w:spacing w:after="80" w:line="276"/>
      </w:pPr>
      <w:r>
        <w:rPr>
          <w:sz w:val="22"/>
          <w:szCs w:val="22"/>
        </w:rPr>
        <w:t xml:space="preserve">Fixed threshold. Both models are evaluated at a 0.5 decision threshold. A deployed filter would tune this against the relative cost of the two error types rather than assume they are equal.</w:t>
      </w:r>
    </w:p>
    <w:p>
      <w:pPr>
        <w:pStyle w:val="Heading2"/>
        <w:spacing w:after="140" w:before="260"/>
      </w:pPr>
      <w:r>
        <w:rPr>
          <w:b/>
          <w:bCs/>
          <w:color w:val="2E4A7D"/>
          <w:sz w:val="25"/>
          <w:szCs w:val="25"/>
        </w:rPr>
        <w:t xml:space="preserve">4.5 Reproducibility</w:t>
      </w:r>
    </w:p>
    <w:p>
      <w:pPr>
        <w:spacing w:after="140" w:line="276"/>
      </w:pPr>
      <w:r>
        <w:rPr>
          <w:sz w:val="22"/>
          <w:szCs w:val="22"/>
        </w:rPr>
        <w:t xml:space="preserve">Random seeds were fixed at 42 for Python, NumPy and TensorFlow. The notebook, both trained models, the TF-IDF vectoriser, the Keras tokenizer and the complete console logs from both training runs are committed to the feature/nishen_CIT-24-01-0256 branch of the group repository, so every figure in this document can be regenerated.</w:t>
      </w:r>
    </w:p>
    <w:sectPr>
      <w:footerReference w:type="default" r:id="rId7"/>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2A0"/>
        <w:sz w:val="16"/>
        <w:szCs w:val="16"/>
      </w:rPr>
      <w:t xml:space="preserve">Neural Nexus · Member 2 · Nishen Madawa (CIT-24-01-0256)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655aa1b47ada9f502aee92f45276343600da28.png"/><Relationship Id="rId9" Type="http://schemas.openxmlformats.org/officeDocument/2006/relationships/image" Target="media/619d1646ba91746e88f515d8e3102adae0a9e62e.png"/><Relationship Id="rId10" Type="http://schemas.openxmlformats.org/officeDocument/2006/relationships/image" Target="media/dee6c8de0be2e89067a700e48e0bdb628fb78baa.png"/><Relationship Id="rId11" Type="http://schemas.openxmlformats.org/officeDocument/2006/relationships/image" Target="media/02bbf0134ef3b9c7f2a24188b2cd95be864a05ed.png"/><Relationship Id="rId12" Type="http://schemas.openxmlformats.org/officeDocument/2006/relationships/image" Target="media/11aade0a07815e16324d7b0878e0c2c3473cd6e0.png"/><Relationship Id="rId13" Type="http://schemas.openxmlformats.org/officeDocument/2006/relationships/image" Target="media/77f8c842374a019301ad93397edae20129b0a95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AI — Member 2 Report Sections</dc:title>
  <dc:creator>Nishen Madawa</dc:creator>
  <dc:description>Dataset Description, Logistic Regression and GRU sections</dc:description>
  <cp:lastModifiedBy>Un-named</cp:lastModifiedBy>
  <cp:revision>1</cp:revision>
  <dcterms:created xsi:type="dcterms:W3CDTF">2026-08-14T09:53:21.181Z</dcterms:created>
  <dcterms:modified xsi:type="dcterms:W3CDTF">2026-08-14T09:53:21.191Z</dcterms:modified>
</cp:coreProperties>
</file>

<file path=docProps/custom.xml><?xml version="1.0" encoding="utf-8"?>
<Properties xmlns="http://schemas.openxmlformats.org/officeDocument/2006/custom-properties" xmlns:vt="http://schemas.openxmlformats.org/officeDocument/2006/docPropsVTypes"/>
</file>