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Style"/>
      </w:pPr>
      <w:r>
        <w:t xml:space="preserve">How to Use Comp‑Lens</w:t>
      </w:r>
    </w:p>
    <w:p>
      <w:pPr>
        <w:spacing w:after="40"/>
      </w:pPr>
      <w:r>
        <w:rPr>
          <w:i/>
          <w:color w:val="444444"/>
          <w:sz w:val="26"/>
          <w:szCs w:val="26"/>
        </w:rPr>
        <w:t xml:space="preserve">A practical, task-oriented operator guide</w:t>
      </w:r>
    </w:p>
    <w:p>
      <w:pPr>
        <w:spacing w:after="280"/>
      </w:pPr>
      <w:r>
        <w:rPr>
          <w:color w:val="666666"/>
          <w:sz w:val="18"/>
          <w:szCs w:val="18"/>
        </w:rPr>
        <w:t xml:space="preserve">Covers installation, dashboard navigation, and every screen — cross-verified against the running frontend and backend source.</w:t>
      </w:r>
    </w:p>
    <w:p>
      <w:pPr>
        <w:spacing w:after="60"/>
      </w:pPr>
      <w:r>
        <w:rPr>
          <w:b/>
          <w:color w:val="0B2F6B"/>
        </w:rPr>
        <w:t xml:space="preserve">Contents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</w:tblPr>
      <w:tblGrid>
        <w:gridCol w:w="9360"/>
      </w:tblGrid>
      <w:tr>
        <w:tc>
          <w:tcPr>
            <w:tcW w:w="936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 Install and run it</w:t>
            </w:r>
          </w:p>
        </w:tc>
      </w:tr>
      <w:tr>
        <w:tc>
          <w:tcPr>
            <w:tcW w:w="936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 Connect the dashboard</w:t>
            </w:r>
          </w:p>
        </w:tc>
      </w:tr>
      <w:tr>
        <w:tc>
          <w:tcPr>
            <w:tcW w:w="936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3. Authentication &amp; tenants</w:t>
            </w:r>
          </w:p>
        </w:tc>
      </w:tr>
      <w:tr>
        <w:tc>
          <w:tcPr>
            <w:tcW w:w="936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4. The dashboard, screen by screen</w:t>
            </w:r>
          </w:p>
        </w:tc>
      </w:tr>
      <w:tr>
        <w:tc>
          <w:tcPr>
            <w:tcW w:w="936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5. Common workflows</w:t>
            </w:r>
          </w:p>
        </w:tc>
      </w:tr>
      <w:tr>
        <w:tc>
          <w:tcPr>
            <w:tcW w:w="936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6. API access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For what Comp‑Lens is and why it exists, see </w:t>
      </w:r>
      <w:r>
        <w:rPr>
          <w:b/>
        </w:rPr>
        <w:t xml:space="preserve">README.md</w:t>
      </w:r>
      <w:r>
        <w:t xml:space="preserve">. For how it is built, see </w:t>
      </w:r>
      <w:r>
        <w:rPr>
          <w:b/>
        </w:rPr>
        <w:t xml:space="preserve">ARCHITECTURE.md</w:t>
      </w:r>
      <w:r>
        <w:t xml:space="preserve">. Every endpoint and button named in this guide was cross-checked against the running code —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app/main.py</w:t>
      </w:r>
      <w:r>
        <w:t xml:space="preserve"> (150+ routes) and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app/static/dashboard.html</w:t>
      </w:r>
      <w:r>
        <w:t xml:space="preserve"> (the console). Where the dashboard itself is honest about a feature being incomplete — the knowledge graph, waivers — this guide says so too.</w:t>
      </w:r>
    </w:p>
    <w:p>
      <w:pPr>
        <w:pStyle w:val="Heading1"/>
      </w:pPr>
      <w:r>
        <w:t xml:space="preserve">1. Install and run it</w:t>
      </w:r>
    </w:p>
    <w:p>
      <w:pPr>
        <w:pStyle w:val="Heading3"/>
      </w:pPr>
      <w:r>
        <w:t xml:space="preserve">One-command install (recommended)</w:t>
      </w:r>
    </w:p>
    <w:p>
      <w:pPr>
        <w:shd w:val="clear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  <w:spacing w:before="80" w:after="160"/>
        <w:ind w:left="120" w:right="120"/>
      </w:pPr>
      <w:r>
        <w:rPr>
          <w:rFonts w:ascii="Courier New" w:hAnsi="Courier New" w:cs="Courier New"/>
          <w:shd w:val="clear" w:fill="F2F2F2"/>
          <w:sz w:val="19"/>
          <w:szCs w:val="19"/>
        </w:rPr>
        <w:t xml:space="preserve">git clone &lt;this repo&gt; &amp;&amp; cd Comp-lens</w:t>
      </w:r>
      <w:r>
        <w:br/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./install.sh</w:t>
      </w:r>
    </w:p>
    <w:p>
      <w:pPr>
        <w:spacing w:after="120"/>
      </w:pPr>
      <w:r>
        <w:rPr>
          <w:rFonts w:ascii="Courier New" w:hAnsi="Courier New" w:cs="Courier New"/>
          <w:shd w:val="clear" w:fill="F2F2F2"/>
          <w:sz w:val="19"/>
          <w:szCs w:val="19"/>
        </w:rPr>
        <w:t xml:space="preserve">install.sh</w:t>
      </w:r>
      <w:r>
        <w:t xml:space="preserve"> checks Docker is installed, generates a random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POSTGRES_PASSWORD</w:t>
      </w:r>
      <w:r>
        <w:t xml:space="preserve"> and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EVIDENCE_SIGNING_KEY</w:t>
      </w:r>
      <w:r>
        <w:t xml:space="preserve"> (via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openssl rand -hex 32</w:t>
      </w:r>
      <w:r>
        <w:t xml:space="preserve">), writes them to a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.env</w:t>
      </w:r>
      <w:r>
        <w:t xml:space="preserve"> file at mode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600</w:t>
      </w:r>
      <w:r>
        <w:t xml:space="preserve"> (never committed — see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.gitignore</w:t>
      </w:r>
      <w:r>
        <w:t xml:space="preserve">), then runs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docker compose build &amp;&amp; up -d</w:t>
      </w:r>
      <w:r>
        <w:t xml:space="preserve"> and waits for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/health/ready</w:t>
      </w:r>
      <w:r>
        <w:t xml:space="preserve">. Re-running it is safe: it won’t overwrite an existing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.env</w:t>
      </w:r>
      <w:r>
        <w:t xml:space="preserve"> or touch your data.</w:t>
      </w:r>
    </w:p>
    <w:p>
      <w:pPr>
        <w:spacing w:after="120"/>
      </w:pPr>
      <w:r>
        <w:t xml:space="preserve">When it finishes: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</w:tblPr>
      <w:tblGrid>
        <w:gridCol w:w="2600"/>
        <w:gridCol w:w="6760"/>
      </w:tblGrid>
      <w:tr>
        <w:tc>
          <w:tcPr>
            <w:tcW w:w="2600" w:type="dxa"/>
            <w:shd w:val="clear" w:fill="0B2F6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w="6760" w:type="dxa"/>
            <w:shd w:val="clear" w:fill="0B2F6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w="26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w="676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http://localhost:8000/dashboard</w:t>
            </w:r>
          </w:p>
        </w:tc>
      </w:tr>
      <w:tr>
        <w:tc>
          <w:tcPr>
            <w:tcW w:w="260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 docs</w:t>
            </w:r>
          </w:p>
        </w:tc>
        <w:tc>
          <w:tcPr>
            <w:tcW w:w="676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http://localhost:8000/docs</w:t>
            </w:r>
            <w:r>
              <w:t xml:space="preserve"> (Swagger UI)</w:t>
            </w:r>
          </w:p>
        </w:tc>
      </w:tr>
      <w:tr>
        <w:tc>
          <w:tcPr>
            <w:tcW w:w="26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Health</w:t>
            </w:r>
          </w:p>
        </w:tc>
        <w:tc>
          <w:tcPr>
            <w:tcW w:w="676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http://localhost:8000/health/ready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Manual Docker Compose</w:t>
      </w:r>
    </w:p>
    <w:p>
      <w:pPr>
        <w:shd w:val="clear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  <w:spacing w:before="80" w:after="160"/>
        <w:ind w:left="120" w:right="120"/>
      </w:pPr>
      <w:r>
        <w:rPr>
          <w:rFonts w:ascii="Courier New" w:hAnsi="Courier New" w:cs="Courier New"/>
          <w:shd w:val="clear" w:fill="F2F2F2"/>
          <w:sz w:val="19"/>
          <w:szCs w:val="19"/>
        </w:rPr>
        <w:t xml:space="preserve">cp .env.example .env   # fill in POSTGRES_PASSWORD and EVIDENCE_SIGNING_KEY yourself</w:t>
      </w:r>
      <w:r>
        <w:br/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docker compose up -d</w:t>
      </w:r>
    </w:p>
    <w:p>
      <w:pPr>
        <w:spacing w:after="120"/>
      </w:pPr>
      <w:r>
        <w:rPr>
          <w:rFonts w:ascii="Courier New" w:hAnsi="Courier New" w:cs="Courier New"/>
          <w:shd w:val="clear" w:fill="F2F2F2"/>
          <w:sz w:val="19"/>
          <w:szCs w:val="19"/>
        </w:rPr>
        <w:t xml:space="preserve">docker-compose.local.yml</w:t>
      </w:r>
      <w:r>
        <w:t xml:space="preserve"> is a lighter local-dev variant (plaintext local DB password, Postgres port exposed) — use it for development, not deployment.</w:t>
      </w:r>
    </w:p>
    <w:p>
      <w:pPr>
        <w:pStyle w:val="Heading3"/>
      </w:pPr>
      <w:r>
        <w:t xml:space="preserve">Render (one-click cloud deploy)</w:t>
      </w:r>
    </w:p>
    <w:p>
      <w:pPr>
        <w:spacing w:after="120"/>
      </w:pPr>
      <w:r>
        <w:rPr>
          <w:rFonts w:ascii="Courier New" w:hAnsi="Courier New" w:cs="Courier New"/>
          <w:shd w:val="clear" w:fill="F2F2F2"/>
          <w:sz w:val="19"/>
          <w:szCs w:val="19"/>
        </w:rPr>
        <w:t xml:space="preserve">render.yaml</w:t>
      </w:r>
      <w:r>
        <w:t xml:space="preserve"> defines a web service (Docker) plus a managed Postgres database. Deploy it via Render’s Blueprint flow; set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COMP_LENS_API_KEYS</w:t>
      </w:r>
      <w:r>
        <w:t xml:space="preserve"> and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EVIDENCE_SIGNING_KEY</w:t>
      </w:r>
      <w:r>
        <w:t xml:space="preserve"> in the Render dashboard (marked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sync: false</w:t>
      </w:r>
      <w:r>
        <w:t xml:space="preserve">, so they never touch git) — </w:t>
      </w:r>
      <w:r>
        <w:rPr>
          <w:b/>
        </w:rPr>
        <w:t xml:space="preserve">the app refuses to start in production without them.</w:t>
      </w:r>
    </w:p>
    <w:p>
      <w:pPr>
        <w:pStyle w:val="Heading1"/>
      </w:pPr>
      <w:r>
        <w:t xml:space="preserve">2. Connect the dashboard</w:t>
      </w:r>
    </w:p>
    <w:p>
      <w:pPr>
        <w:spacing w:after="120"/>
      </w:pPr>
      <w:r>
        <w:t xml:space="preserve">The dashboard is a static console (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app/static/dashboard.html</w:t>
      </w:r>
      <w:r>
        <w:t xml:space="preserve">) that talks to whatever API base URL you point it at — it doesn’t have to be the instance that served it.</w:t>
      </w:r>
    </w:p>
    <w:p>
      <w:pPr>
        <w:spacing w:after="120"/>
      </w:pPr>
      <w:r>
        <w:t xml:space="preserve">Click the </w:t>
      </w:r>
      <w:r>
        <w:rPr>
          <w:b/>
        </w:rPr>
        <w:t xml:space="preserve">connection chip</w:t>
      </w:r>
      <w:r>
        <w:t xml:space="preserve"> (bottom of the left rail, shows </w:t>
      </w:r>
      <w:r>
        <w:rPr>
          <w:i/>
        </w:rPr>
        <w:t xml:space="preserve">Connecting…</w:t>
      </w:r>
      <w:r>
        <w:t xml:space="preserve"> / </w:t>
      </w:r>
      <w:r>
        <w:rPr>
          <w:i/>
        </w:rPr>
        <w:t xml:space="preserve">Live</w:t>
      </w:r>
      <w:r>
        <w:t xml:space="preserve"> / </w:t>
      </w:r>
      <w:r>
        <w:rPr>
          <w:i/>
        </w:rPr>
        <w:t xml:space="preserve">Offline</w:t>
      </w:r>
      <w:r>
        <w:t xml:space="preserve"> / </w:t>
      </w:r>
      <w:r>
        <w:rPr>
          <w:i/>
        </w:rPr>
        <w:t xml:space="preserve">Demo</w:t>
      </w:r>
      <w:r>
        <w:t xml:space="preserve">) to open </w:t>
      </w:r>
      <w:r>
        <w:rPr>
          <w:b/>
        </w:rPr>
        <w:t xml:space="preserve">Connection settings</w:t>
      </w:r>
      <w:r>
        <w:t xml:space="preserve">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</w:tblPr>
      <w:tblGrid>
        <w:gridCol w:w="2200"/>
        <w:gridCol w:w="7160"/>
      </w:tblGrid>
      <w:tr>
        <w:tc>
          <w:tcPr>
            <w:tcW w:w="2200" w:type="dxa"/>
            <w:shd w:val="clear" w:fill="0B2F6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w="7160" w:type="dxa"/>
            <w:shd w:val="clear" w:fill="0B2F6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w="22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 base URL</w:t>
            </w:r>
          </w:p>
        </w:tc>
        <w:tc>
          <w:tcPr>
            <w:tcW w:w="716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 xml:space="preserve">e.g. </w:t>
            </w: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https://your-instance.onrender.com</w:t>
            </w:r>
            <w:r>
              <w:t xml:space="preserve">. Stored only in this browser tab.</w:t>
            </w:r>
          </w:p>
        </w:tc>
      </w:tr>
      <w:tr>
        <w:tc>
          <w:tcPr>
            <w:tcW w:w="220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 key</w:t>
            </w:r>
          </w:p>
        </w:tc>
        <w:tc>
          <w:tcPr>
            <w:tcW w:w="716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 xml:space="preserve">Sent as </w:t>
            </w: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X-API-Key</w:t>
            </w:r>
            <w:r>
              <w:t xml:space="preserve">. Leave blank if auth is off.</w:t>
            </w:r>
          </w:p>
        </w:tc>
      </w:tr>
      <w:tr>
        <w:tc>
          <w:tcPr>
            <w:tcW w:w="22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Tenant ID</w:t>
            </w:r>
          </w:p>
        </w:tc>
        <w:tc>
          <w:tcPr>
            <w:tcW w:w="716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 xml:space="preserve">Scopes every request; defaults to </w:t>
            </w: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default</w:t>
            </w:r>
            <w:r>
              <w:t xml:space="preserve">.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Click </w:t>
      </w:r>
      <w:r>
        <w:rPr>
          <w:b/>
        </w:rPr>
        <w:t xml:space="preserve">Save &amp; reconnect</w:t>
      </w:r>
      <w:r>
        <w:t xml:space="preserve">. The dashboard </w:t>
      </w:r>
      <w:r>
        <w:rPr>
          <w:b/>
        </w:rPr>
        <w:t xml:space="preserve">never auto-switches to demo data</w:t>
      </w:r>
      <w:r>
        <w:t xml:space="preserve"> if a live call fails — it just shows </w:t>
      </w:r>
      <w:r>
        <w:rPr>
          <w:i/>
        </w:rPr>
        <w:t xml:space="preserve">Offline</w:t>
      </w:r>
      <w:r>
        <w:t xml:space="preserve">, so you can’t mistake a broken connection for an empty environment.</w:t>
      </w:r>
    </w:p>
    <w:p>
      <w:pPr>
        <w:spacing w:after="120"/>
      </w:pPr>
      <w:r>
        <w:rPr>
          <w:b/>
        </w:rPr>
        <w:t xml:space="preserve">Demo mode</w:t>
      </w:r>
      <w:r>
        <w:t xml:space="preserve"> (the toggle next to the connection chip, or </w:t>
      </w:r>
      <w:r>
        <w:rPr>
          <w:b/>
        </w:rPr>
        <w:t xml:space="preserve">Use demo data</w:t>
      </w:r>
      <w:r>
        <w:t xml:space="preserve"> in the settings dialog) replaces every view with a fixed sample dataset for the session — nothing is read from or written to your real instance while it’s on. Turning it on from a live connection asks for confirmation first.</w:t>
      </w:r>
    </w:p>
    <w:p>
      <w:pPr>
        <w:pStyle w:val="Heading1"/>
      </w:pPr>
      <w:r>
        <w:t xml:space="preserve">3. Authentication &amp; tenants</w:t>
      </w:r>
    </w:p>
    <w:p>
      <w:pPr>
        <w:spacing w:after="120"/>
      </w:pPr>
      <w:r>
        <w:t xml:space="preserve">Auth is controlled by one environment variable,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COMP_LENS_API_KEYS</w:t>
      </w:r>
      <w:r>
        <w:t xml:space="preserve">:</w:t>
      </w:r>
    </w:p>
    <w:p>
      <w:pPr>
        <w:shd w:val="clear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  <w:spacing w:before="80" w:after="160"/>
        <w:ind w:left="120" w:right="120"/>
      </w:pPr>
      <w:r>
        <w:rPr>
          <w:rFonts w:ascii="Courier New" w:hAnsi="Courier New" w:cs="Courier New"/>
          <w:shd w:val="clear" w:fill="F2F2F2"/>
          <w:sz w:val="19"/>
          <w:szCs w:val="19"/>
        </w:rPr>
        <w:t xml:space="preserve">key1:tenantA,tenantB ; key2:*</w:t>
      </w:r>
    </w:p>
    <w:p>
      <w:pPr>
        <w:numPr>
          <w:ilvl w:val="0"/>
          <w:numId w:val="2"/>
        </w:numPr>
        <w:spacing w:after="60"/>
      </w:pPr>
      <w:r>
        <w:t xml:space="preserve">Semicolon-separated entries;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key:tenant1,tenant2</w:t>
      </w:r>
      <w:r>
        <w:t xml:space="preserve"> scopes a key to those tenants,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key:*</w:t>
      </w:r>
      <w:r>
        <w:t xml:space="preserve"> is an admin key (all tenants).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Unset entirely → auth is off</w:t>
      </w:r>
      <w:r>
        <w:t xml:space="preserve"> and every request is treated as an all-tenant admin. Fine behind a VPN or for local dev; the app </w:t>
      </w:r>
      <w:r>
        <w:rPr>
          <w:b/>
        </w:rPr>
        <w:t xml:space="preserve">refuses to start this way in production</w:t>
      </w:r>
      <w:r>
        <w:t xml:space="preserve"> (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APP_ENV=production</w:t>
      </w:r>
      <w:r>
        <w:t xml:space="preserve"> with no keys →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503</w:t>
      </w:r>
      <w:r>
        <w:t xml:space="preserve">).</w:t>
      </w:r>
    </w:p>
    <w:p>
      <w:pPr>
        <w:numPr>
          <w:ilvl w:val="0"/>
          <w:numId w:val="2"/>
        </w:numPr>
        <w:spacing w:after="60"/>
      </w:pPr>
      <w:r>
        <w:t xml:space="preserve">Generate a key: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python -c "import secrets; print(secrets.token_urlsafe(32))"</w:t>
      </w:r>
    </w:p>
    <w:p>
      <w:pPr>
        <w:spacing w:after="120"/>
      </w:pPr>
      <w:r>
        <w:t xml:space="preserve">Every API call carries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?tenant_id=&lt;id&gt;</w:t>
      </w:r>
      <w:r>
        <w:t xml:space="preserve"> (the dashboard adds this automatically once you’ve set a Tenant ID in Connection settings); a key can only act on the tenants it’s scoped to.</w:t>
      </w:r>
    </w:p>
    <w:p>
      <w:r>
        <w:br w:type="page"/>
      </w:r>
    </w:p>
    <w:p>
      <w:pPr>
        <w:pStyle w:val="Heading1"/>
      </w:pPr>
      <w:r>
        <w:t xml:space="preserve">4. The dashboard, screen by screen</w:t>
      </w:r>
    </w:p>
    <w:p>
      <w:pPr>
        <w:spacing w:after="120"/>
      </w:pPr>
      The rail groups 22 screens into 5 sections. Rows in tables across the app are usually clickable — clicking one opens a detail drawer with the full record and any actions available for it (a generic pattern, called out once here rather than per screen).
    </w:p>
    <w:p>
      <w:pPr>
        <w:pStyle w:val="Heading3"/>
      </w:pPr>
      <w:r>
        <w:t xml:space="preserve">Posture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</w:tblPr>
      <w:tblGrid>
        <w:gridCol w:w="1500"/>
        <w:gridCol w:w="4700"/>
        <w:gridCol w:w="3160"/>
      </w:tblGrid>
      <w:tr>
        <w:tc>
          <w:tcPr>
            <w:tcW w:w="1500" w:type="dxa"/>
            <w:shd w:val="clear" w:fill="0B2F6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w="4700" w:type="dxa"/>
            <w:shd w:val="clear" w:fill="0B2F6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W w:w="3160" w:type="dxa"/>
            <w:shd w:val="clear" w:fill="0B2F6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 xml:space="preserve">Reads from</w:t>
            </w:r>
          </w:p>
        </w:tc>
      </w:tr>
      <w:tr>
        <w:tc>
          <w:tcPr>
            <w:tcW w:w="15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Overview</w:t>
            </w:r>
          </w:p>
        </w:tc>
        <w:tc>
          <w:tcPr>
            <w:tcW w:w="47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 xml:space="preserve">Compliance score, trend, framework readiness, unified trust snapshot</w:t>
            </w:r>
          </w:p>
        </w:tc>
        <w:tc>
          <w:tcPr>
            <w:tcW w:w="316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/summary</w:t>
            </w:r>
            <w:r>
              <w:t xml:space="preserve">, </w:t>
            </w: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/trends</w:t>
            </w:r>
            <w:r>
              <w:t xml:space="preserve">, </w:t>
            </w: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/catalog/frameworks</w:t>
            </w:r>
            <w:r>
              <w:t xml:space="preserve">, </w:t>
            </w: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/v1/grc-trust/unified</w:t>
            </w:r>
          </w:p>
        </w:tc>
      </w:tr>
      <w:tr>
        <w:tc>
          <w:tcPr>
            <w:tcW w:w="150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Controls</w:t>
            </w:r>
          </w:p>
        </w:tc>
        <w:tc>
          <w:tcPr>
            <w:tcW w:w="470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 xml:space="preserve">Every control’s current status; click a row for detail, incl. </w:t>
            </w:r>
            <w:r>
              <w:rPr>
                <w:b/>
              </w:rPr>
              <w:t xml:space="preserve">Run assessment</w:t>
            </w:r>
          </w:p>
        </w:tc>
        <w:tc>
          <w:tcPr>
            <w:tcW w:w="316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/controls</w:t>
            </w:r>
            <w:r>
              <w:t xml:space="preserve">, </w:t>
            </w: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/v1/grc-trust/unified</w:t>
            </w:r>
            <w:r>
              <w:t xml:space="preserve">, </w:t>
            </w: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POST /assessments</w:t>
            </w:r>
          </w:p>
        </w:tc>
      </w:tr>
      <w:tr>
        <w:tc>
          <w:tcPr>
            <w:tcW w:w="15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Findings</w:t>
            </w:r>
          </w:p>
        </w:tc>
        <w:tc>
          <w:tcPr>
            <w:tcW w:w="47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 xml:space="preserve">Open issues with a lifecycle (open → resolved / risk-accepted). Filter by status/severity. Drawer actions: </w:t>
            </w:r>
            <w:r>
              <w:rPr>
                <w:b/>
              </w:rPr>
              <w:t xml:space="preserve">Mark resolved</w:t>
            </w:r>
            <w:r>
              <w:t xml:space="preserve">, </w:t>
            </w:r>
            <w:r>
              <w:rPr>
                <w:b/>
              </w:rPr>
              <w:t xml:space="preserve">Accept risk</w:t>
            </w:r>
            <w:r>
              <w:t xml:space="preserve">, </w:t>
            </w:r>
            <w:r>
              <w:rPr>
                <w:b/>
              </w:rPr>
              <w:t xml:space="preserve">Create ticket</w:t>
            </w:r>
          </w:p>
        </w:tc>
        <w:tc>
          <w:tcPr>
            <w:tcW w:w="316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GET/PATCH /findings</w:t>
            </w:r>
          </w:p>
        </w:tc>
      </w:tr>
      <w:tr>
        <w:tc>
          <w:tcPr>
            <w:tcW w:w="150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Frameworks</w:t>
            </w:r>
          </w:p>
        </w:tc>
        <w:tc>
          <w:tcPr>
            <w:tcW w:w="470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 xml:space="preserve">Framework-by-framework readiness and control coverage</w:t>
            </w:r>
          </w:p>
        </w:tc>
        <w:tc>
          <w:tcPr>
            <w:tcW w:w="316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/catalog/frameworks</w:t>
            </w:r>
          </w:p>
        </w:tc>
      </w:tr>
      <w:tr>
        <w:tc>
          <w:tcPr>
            <w:tcW w:w="15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Audits</w:t>
            </w:r>
          </w:p>
        </w:tc>
        <w:tc>
          <w:tcPr>
            <w:tcW w:w="47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 xml:space="preserve">Active/historical audit engagements — evidence requests, reviewer progress</w:t>
            </w:r>
          </w:p>
        </w:tc>
        <w:tc>
          <w:tcPr>
            <w:tcW w:w="316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/audits*</w:t>
            </w:r>
            <w:r>
              <w:t xml:space="preserve"> (full CRUD + </w:t>
            </w: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/audits/{id}/export</w:t>
            </w:r>
            <w:r>
              <w:t xml:space="preserve">)</w:t>
            </w:r>
          </w:p>
        </w:tc>
      </w:tr>
      <w:tr>
        <w:tc>
          <w:tcPr>
            <w:tcW w:w="150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Reports</w:t>
            </w:r>
          </w:p>
        </w:tc>
        <w:tc>
          <w:tcPr>
            <w:tcW w:w="470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 xml:space="preserve">One-click exports: PDF audit pack, CSV, and three OSCAL documents</w:t>
            </w:r>
          </w:p>
        </w:tc>
        <w:tc>
          <w:tcPr>
            <w:tcW w:w="316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/reports/pdf</w:t>
            </w:r>
            <w:r>
              <w:t xml:space="preserve">, </w:t>
            </w: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/reports/csv</w:t>
            </w:r>
            <w:r>
              <w:t xml:space="preserve">, </w:t>
            </w: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/reports/oscal*</w:t>
            </w:r>
          </w:p>
        </w:tc>
      </w:tr>
      <w:tr>
        <w:tc>
          <w:tcPr>
            <w:tcW w:w="15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As-of / Timeline</w:t>
            </w:r>
          </w:p>
        </w:tc>
        <w:tc>
          <w:tcPr>
            <w:tcW w:w="47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 xml:space="preserve">Reconstruct posture at any past date, or trace one control’s full status-transition history</w:t>
            </w:r>
          </w:p>
        </w:tc>
        <w:tc>
          <w:tcPr>
            <w:tcW w:w="316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/v1/posture/as-of</w:t>
            </w:r>
            <w:r>
              <w:t xml:space="preserve">, </w:t>
            </w: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/v1/posture/timeline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Compliance as Code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</w:tblPr>
      <w:tblGrid>
        <w:gridCol w:w="1500"/>
        <w:gridCol w:w="4700"/>
        <w:gridCol w:w="3160"/>
      </w:tblGrid>
      <w:tr>
        <w:tc>
          <w:tcPr>
            <w:tcW w:w="1500" w:type="dxa"/>
            <w:shd w:val="clear" w:fill="0B2F6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w="4700" w:type="dxa"/>
            <w:shd w:val="clear" w:fill="0B2F6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W w:w="3160" w:type="dxa"/>
            <w:shd w:val="clear" w:fill="0B2F6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 xml:space="preserve">Reads from</w:t>
            </w:r>
          </w:p>
        </w:tc>
      </w:tr>
      <w:tr>
        <w:tc>
          <w:tcPr>
            <w:tcW w:w="15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Policies</w:t>
            </w:r>
          </w:p>
        </w:tc>
        <w:tc>
          <w:tcPr>
            <w:tcW w:w="47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 xml:space="preserve">The policy-as-code library (Rego). “Insert PDF” extracts a draft policy from an uploaded document</w:t>
            </w:r>
          </w:p>
        </w:tc>
        <w:tc>
          <w:tcPr>
            <w:tcW w:w="316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/policies</w:t>
            </w:r>
            <w:r>
              <w:t xml:space="preserve">, </w:t>
            </w: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/policies/import</w:t>
            </w:r>
          </w:p>
        </w:tc>
      </w:tr>
      <w:tr>
        <w:tc>
          <w:tcPr>
            <w:tcW w:w="150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Enforcement</w:t>
            </w:r>
          </w:p>
        </w:tc>
        <w:tc>
          <w:tcPr>
            <w:tcW w:w="470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 xml:space="preserve">Shadow-first Zero-Trust: PEPs in front of legacy systems, asking the same OPA/Rego an allow-or-deny per request. Promote a system from shadow → enforce once its would-block stream is clean</w:t>
            </w:r>
          </w:p>
        </w:tc>
        <w:tc>
          <w:tcPr>
            <w:tcW w:w="316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/enforcement/status</w:t>
            </w:r>
            <w:r>
              <w:t xml:space="preserve">, </w:t>
            </w: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/enforcement/systems</w:t>
            </w:r>
            <w:r>
              <w:t xml:space="preserve">, </w:t>
            </w: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/enforcement/decisions</w:t>
            </w:r>
          </w:p>
        </w:tc>
      </w:tr>
      <w:tr>
        <w:tc>
          <w:tcPr>
            <w:tcW w:w="15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Agent Log</w:t>
            </w:r>
          </w:p>
        </w:tc>
        <w:tc>
          <w:tcPr>
            <w:tcW w:w="47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 xml:space="preserve">The append-only, hash-chained log of every autonomous/assistive agent action, with a chain-integrity indicator that flags tampering</w:t>
            </w:r>
          </w:p>
        </w:tc>
        <w:tc>
          <w:tcPr>
            <w:tcW w:w="316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/v1/agents/actions</w:t>
            </w:r>
            <w:r>
              <w:t xml:space="preserve">, </w:t>
            </w: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/v1/agents/actions/verify</w:t>
            </w:r>
          </w:p>
        </w:tc>
      </w:tr>
    </w:tbl>
    <w:p>
      <w:pPr>
        <w:spacing w:after="160"/>
      </w:pPr>
    </w:p>
    <w:p>
      <w:pPr>
        <w:shd w:val="clear" w:fill="FFF8E6"/>
        <w:pBdr>
          <w:left w:val="single" w:sz="24" w:space="8" w:color="C99A1E"/>
        </w:pBdr>
        <w:spacing w:after="200"/>
      </w:pPr>
      <w:r>
        <w:rPr>
          <w:b/>
          <w:color w:val="8A6100"/>
        </w:rPr>
        <w:t xml:space="preserve">Note:</w:t>
      </w:r>
      <w:r>
        <w:t xml:space="preserve">  </w:t>
      </w:r>
      <w:r>
        <w:t xml:space="preserve">NL → policy authoring is API/CLI-only. The dashboard’s “New policy” button doesn’t open an editor — it points to the CLI. To draft a policy from a plain-English description, call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POST /policy/draft</w:t>
      </w:r>
      <w:r>
        <w:t xml:space="preserve"> directly; it stays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pending</w:t>
      </w:r>
      <w:r>
        <w:t xml:space="preserve"> until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POST /policy/{id}/approve</w:t>
      </w:r>
      <w:r>
        <w:t xml:space="preserve">.</w:t>
      </w:r>
    </w:p>
    <w:p>
      <w:pPr>
        <w:pStyle w:val="Heading3"/>
      </w:pPr>
      <w:r>
        <w:t xml:space="preserve">Evidence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</w:tblPr>
      <w:tblGrid>
        <w:gridCol w:w="1500"/>
        <w:gridCol w:w="4700"/>
        <w:gridCol w:w="3160"/>
      </w:tblGrid>
      <w:tr>
        <w:tc>
          <w:tcPr>
            <w:tcW w:w="1500" w:type="dxa"/>
            <w:shd w:val="clear" w:fill="0B2F6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w="4700" w:type="dxa"/>
            <w:shd w:val="clear" w:fill="0B2F6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W w:w="3160" w:type="dxa"/>
            <w:shd w:val="clear" w:fill="0B2F6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 xml:space="preserve">Reads from</w:t>
            </w:r>
          </w:p>
        </w:tc>
      </w:tr>
      <w:tr>
        <w:tc>
          <w:tcPr>
            <w:tcW w:w="15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Connectors</w:t>
            </w:r>
          </w:p>
        </w:tc>
        <w:tc>
          <w:tcPr>
            <w:tcW w:w="47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 xml:space="preserve">Native connectors (AWS, Okta, GitHub, Jira, SSH Linux, plus the synthetic DEMO source). </w:t>
            </w:r>
            <w:r>
              <w:rPr>
                <w:b/>
              </w:rPr>
              <w:t xml:space="preserve">Add connection</w:t>
            </w:r>
            <w:r>
              <w:t xml:space="preserve"> to configure one — multiple accounts of the same type are supported. Each supports Test / Sync</w:t>
            </w:r>
          </w:p>
        </w:tc>
        <w:tc>
          <w:tcPr>
            <w:tcW w:w="316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/connectors*</w:t>
            </w:r>
            <w:r>
              <w:t xml:space="preserve">, </w:t>
            </w: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/connectors/instances*</w:t>
            </w:r>
          </w:p>
        </w:tc>
      </w:tr>
      <w:tr>
        <w:tc>
          <w:tcPr>
            <w:tcW w:w="150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GRC Platforms</w:t>
            </w:r>
          </w:p>
        </w:tc>
        <w:tc>
          <w:tcPr>
            <w:tcW w:w="470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 xml:space="preserve">Inherited attestations from Vanta, Drata, OneTrust, Secureframe — read-only, credential-gated, fails closed without credentials. </w:t>
            </w:r>
            <w:r>
              <w:rPr>
                <w:b/>
              </w:rPr>
              <w:t xml:space="preserve">Sync now</w:t>
            </w:r>
            <w:r>
              <w:t xml:space="preserve"> opens a connecting-window modal with plain-English failure diagnosis on error</w:t>
            </w:r>
          </w:p>
        </w:tc>
        <w:tc>
          <w:tcPr>
            <w:tcW w:w="316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/v1/grc-sync/*</w:t>
            </w:r>
          </w:p>
        </w:tc>
      </w:tr>
      <w:tr>
        <w:tc>
          <w:tcPr>
            <w:tcW w:w="15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Knowledge Graph</w:t>
            </w:r>
          </w:p>
        </w:tc>
        <w:tc>
          <w:tcPr>
            <w:tcW w:w="47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 xml:space="preserve">Evidence ↔ control ↔ framework relationships</w:t>
            </w:r>
          </w:p>
        </w:tc>
        <w:tc>
          <w:tcPr>
            <w:tcW w:w="316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i/>
              </w:rPr>
              <w:t xml:space="preserve">Illustrative only outside demo mode</w:t>
            </w:r>
            <w:r>
              <w:t xml:space="preserve"> — the dashboard says so itself; a real per-tenant graph exists at </w:t>
            </w: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GET /evidence/graph</w:t>
            </w:r>
          </w:p>
        </w:tc>
      </w:tr>
      <w:tr>
        <w:tc>
          <w:tcPr>
            <w:tcW w:w="150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Evidence</w:t>
            </w:r>
          </w:p>
        </w:tc>
        <w:tc>
          <w:tcPr>
            <w:tcW w:w="470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 xml:space="preserve">The hash-sealed evidence ledger, with an integrity re-verify action</w:t>
            </w:r>
          </w:p>
        </w:tc>
        <w:tc>
          <w:tcPr>
            <w:tcW w:w="316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/evidence</w:t>
            </w:r>
            <w:r>
              <w:t xml:space="preserve">, </w:t>
            </w: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/evidence/verify</w:t>
            </w:r>
          </w:p>
        </w:tc>
      </w:tr>
      <w:tr>
        <w:tc>
          <w:tcPr>
            <w:tcW w:w="15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Standards Ingest</w:t>
            </w:r>
          </w:p>
        </w:tc>
        <w:tc>
          <w:tcPr>
            <w:tcW w:w="47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 xml:space="preserve">Paste an OCSF, SARIF, CycloneDX, SPDX, in-toto/SLSA, STIX, or Sigstore document and ingest it directly into findings/posture. </w:t>
            </w:r>
            <w:r>
              <w:rPr>
                <w:b/>
              </w:rPr>
              <w:t xml:space="preserve">Load example</w:t>
            </w:r>
            <w:r>
              <w:t xml:space="preserve"> fills a working fixture per format</w:t>
            </w:r>
          </w:p>
        </w:tc>
        <w:tc>
          <w:tcPr>
            <w:tcW w:w="316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POST /v1/evidence/ingest?format=…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Intelligence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</w:tblPr>
      <w:tblGrid>
        <w:gridCol w:w="1500"/>
        <w:gridCol w:w="4700"/>
        <w:gridCol w:w="3160"/>
      </w:tblGrid>
      <w:tr>
        <w:tc>
          <w:tcPr>
            <w:tcW w:w="1500" w:type="dxa"/>
            <w:shd w:val="clear" w:fill="0B2F6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w="4700" w:type="dxa"/>
            <w:shd w:val="clear" w:fill="0B2F6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W w:w="3160" w:type="dxa"/>
            <w:shd w:val="clear" w:fill="0B2F6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 xml:space="preserve">Reads from</w:t>
            </w:r>
          </w:p>
        </w:tc>
      </w:tr>
      <w:tr>
        <w:tc>
          <w:tcPr>
            <w:tcW w:w="15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Response</w:t>
            </w:r>
          </w:p>
        </w:tc>
        <w:tc>
          <w:tcPr>
            <w:tcW w:w="47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 xml:space="preserve">Open findings ranked by posture-lift per fix effort, with one-click ticket creation</w:t>
            </w:r>
          </w:p>
        </w:tc>
        <w:tc>
          <w:tcPr>
            <w:tcW w:w="316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/findings?limit=200</w:t>
            </w:r>
            <w:r>
              <w:t xml:space="preserve"> (derived)</w:t>
            </w:r>
          </w:p>
        </w:tc>
      </w:tr>
      <w:tr>
        <w:tc>
          <w:tcPr>
            <w:tcW w:w="150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AI Inventory</w:t>
            </w:r>
          </w:p>
        </w:tc>
        <w:tc>
          <w:tcPr>
            <w:tcW w:w="470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 xml:space="preserve">Registered AI systems and their governance state (PET catalog scoring)</w:t>
            </w:r>
          </w:p>
        </w:tc>
        <w:tc>
          <w:tcPr>
            <w:tcW w:w="316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/ai-systems</w:t>
            </w:r>
            <w:r>
              <w:t xml:space="preserve">, </w:t>
            </w: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/v1/ai-gov/*</w:t>
            </w:r>
          </w:p>
        </w:tc>
      </w:tr>
      <w:tr>
        <w:tc>
          <w:tcPr>
            <w:tcW w:w="15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Threat Intel</w:t>
            </w:r>
          </w:p>
        </w:tc>
        <w:tc>
          <w:tcPr>
            <w:tcW w:w="47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 xml:space="preserve">CISA KEV (known-exploited vulnerabilities) cross-referenced with your asset inventory</w:t>
            </w:r>
          </w:p>
        </w:tc>
        <w:tc>
          <w:tcPr>
            <w:tcW w:w="316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/v1/threat/kev</w:t>
            </w:r>
            <w:r>
              <w:t xml:space="preserve">, </w:t>
            </w: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/v1/threat/summary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Risk &amp; Vendors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</w:tblPr>
      <w:tblGrid>
        <w:gridCol w:w="1500"/>
        <w:gridCol w:w="4700"/>
        <w:gridCol w:w="3160"/>
      </w:tblGrid>
      <w:tr>
        <w:tc>
          <w:tcPr>
            <w:tcW w:w="1500" w:type="dxa"/>
            <w:shd w:val="clear" w:fill="0B2F6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w="4700" w:type="dxa"/>
            <w:shd w:val="clear" w:fill="0B2F6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W w:w="3160" w:type="dxa"/>
            <w:shd w:val="clear" w:fill="0B2F6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 xml:space="preserve">Reads from</w:t>
            </w:r>
          </w:p>
        </w:tc>
      </w:tr>
      <w:tr>
        <w:tc>
          <w:tcPr>
            <w:tcW w:w="15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Risk Register</w:t>
            </w:r>
          </w:p>
        </w:tc>
        <w:tc>
          <w:tcPr>
            <w:tcW w:w="47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 xml:space="preserve">Risk entries with full CRUD</w:t>
            </w:r>
          </w:p>
        </w:tc>
        <w:tc>
          <w:tcPr>
            <w:tcW w:w="316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/grc/risks*</w:t>
            </w:r>
          </w:p>
        </w:tc>
      </w:tr>
      <w:tr>
        <w:tc>
          <w:tcPr>
            <w:tcW w:w="150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Vendors</w:t>
            </w:r>
          </w:p>
        </w:tc>
        <w:tc>
          <w:tcPr>
            <w:tcW w:w="470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 xml:space="preserve">Third-party vendor inventory with full CRUD</w:t>
            </w:r>
          </w:p>
        </w:tc>
        <w:tc>
          <w:tcPr>
            <w:tcW w:w="316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/tprm/vendors*</w:t>
            </w:r>
          </w:p>
        </w:tc>
      </w:tr>
      <w:tr>
        <w:tc>
          <w:tcPr>
            <w:tcW w:w="15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Trust Telemetry</w:t>
            </w:r>
          </w:p>
        </w:tc>
        <w:tc>
          <w:tcPr>
            <w:tcW w:w="470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 xml:space="preserve">One score per control, fused from five independently-visible lanes (native / inherited / policy / enforcement / follow-through) — never silently merging inherited trust with directly-verified trust</w:t>
            </w:r>
          </w:p>
        </w:tc>
        <w:tc>
          <w:tcPr>
            <w:tcW w:w="3160" w:type="dxa"/>
            <w:shd w:val="clear"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/>
                <w:shd w:val="clear" w:fill="F2F2F2"/>
                <w:sz w:val="19"/>
                <w:szCs w:val="19"/>
              </w:rPr>
              <w:t xml:space="preserve">/v1/grc-trust/unified</w:t>
            </w:r>
          </w:p>
        </w:tc>
      </w:tr>
      <w:tr>
        <w:tc>
          <w:tcPr>
            <w:tcW w:w="150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Trust Graph</w:t>
            </w:r>
          </w:p>
        </w:tc>
        <w:tc>
          <w:tcPr>
            <w:tcW w:w="470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 xml:space="preserve">Vendor → system → control dependency graph</w:t>
            </w:r>
          </w:p>
        </w:tc>
        <w:tc>
          <w:tcPr>
            <w:tcW w:w="3160" w:type="dxa"/>
            <w:shd w:val="clear"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i/>
              </w:rPr>
              <w:t xml:space="preserve">Illustrative only outside demo mode</w:t>
            </w:r>
            <w:r>
              <w:t xml:space="preserve">, same caveat as Knowledge Graph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5. Common workflows</w:t>
      </w:r>
    </w:p>
    <w:p>
      <w:pPr>
        <w:pStyle w:val="Heading3"/>
      </w:pPr>
      <w:r>
        <w:t xml:space="preserve">Connect a real system and run your first assessment</w:t>
      </w:r>
    </w:p>
    <w:p>
      <w:pPr>
        <w:numPr>
          <w:ilvl w:val="0"/>
          <w:numId w:val="10"/>
        </w:numPr>
        <w:spacing w:after="60"/>
      </w:pPr>
      <w:r>
        <w:rPr>
          <w:b/>
        </w:rPr>
        <w:t xml:space="preserve">Connectors</w:t>
      </w:r>
      <w:r>
        <w:t xml:space="preserve"> → </w:t>
      </w:r>
      <w:r>
        <w:rPr>
          <w:b/>
        </w:rPr>
        <w:t xml:space="preserve">Add connection</w:t>
      </w:r>
      <w:r>
        <w:t xml:space="preserve"> → pick AWS / Okta / GitHub / Jira / SSH Linux → label it.</w:t>
      </w:r>
    </w:p>
    <w:p>
      <w:pPr>
        <w:numPr>
          <w:ilvl w:val="0"/>
          <w:numId w:val="10"/>
        </w:numPr>
        <w:spacing w:after="60"/>
      </w:pPr>
      <w:r>
        <w:t xml:space="preserve">Choose where credentials live: </w:t>
      </w:r>
      <w:r>
        <w:rPr>
          <w:b/>
        </w:rPr>
        <w:t xml:space="preserve">This browser only</w:t>
      </w:r>
      <w:r>
        <w:t xml:space="preserve"> (AES-GCM encrypted client-side, sent to the server only for the duration of a sync — never persisted there) or </w:t>
      </w:r>
      <w:r>
        <w:rPr>
          <w:b/>
        </w:rPr>
        <w:t xml:space="preserve">Server (encrypted)</w:t>
      </w:r>
      <w:r>
        <w:t xml:space="preserve">, which calls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POST /connectors/instances</w:t>
      </w:r>
      <w:r>
        <w:t xml:space="preserve">. You can add multiple connections of the same type. Env-var credentials work too — see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.env.example</w:t>
      </w:r>
      <w:r>
        <w:t xml:space="preserve">.</w:t>
      </w:r>
    </w:p>
    <w:p>
      <w:pPr>
        <w:numPr>
          <w:ilvl w:val="0"/>
          <w:numId w:val="10"/>
        </w:numPr>
        <w:spacing w:after="60"/>
      </w:pPr>
      <w:r>
        <w:t xml:space="preserve">Click </w:t>
      </w:r>
      <w:r>
        <w:rPr>
          <w:b/>
        </w:rPr>
        <w:t xml:space="preserve">Test</w:t>
      </w:r>
      <w:r>
        <w:t xml:space="preserve"> to confirm connectivity, then </w:t>
      </w:r>
      <w:r>
        <w:rPr>
          <w:b/>
        </w:rPr>
        <w:t xml:space="preserve">Sync</w:t>
      </w:r>
      <w:r>
        <w:t xml:space="preserve">.</w:t>
      </w:r>
    </w:p>
    <w:p>
      <w:pPr>
        <w:numPr>
          <w:ilvl w:val="0"/>
          <w:numId w:val="10"/>
        </w:numPr>
        <w:spacing w:after="60"/>
      </w:pPr>
      <w:r>
        <w:t xml:space="preserve">Results land in </w:t>
      </w:r>
      <w:r>
        <w:rPr>
          <w:b/>
        </w:rPr>
        <w:t xml:space="preserve">Findings</w:t>
      </w:r>
      <w:r>
        <w:t xml:space="preserve"> and roll up into </w:t>
      </w:r>
      <w:r>
        <w:rPr>
          <w:b/>
        </w:rPr>
        <w:t xml:space="preserve">Overview</w:t>
      </w:r>
      <w:r>
        <w:t xml:space="preserve">. From </w:t>
      </w:r>
      <w:r>
        <w:rPr>
          <w:b/>
        </w:rPr>
        <w:t xml:space="preserve">Controls</w:t>
      </w:r>
      <w:r>
        <w:t xml:space="preserve">, trigger </w:t>
      </w:r>
      <w:r>
        <w:rPr>
          <w:b/>
        </w:rPr>
        <w:t xml:space="preserve">Run assessment</w:t>
      </w:r>
      <w:r>
        <w:t xml:space="preserve"> on a single control directly.</w:t>
      </w:r>
    </w:p>
    <w:p>
      <w:pPr>
        <w:pStyle w:val="Heading3"/>
      </w:pPr>
      <w:r>
        <w:t xml:space="preserve">Pull in inherited attestations from a GRC platform</w:t>
      </w:r>
    </w:p>
    <w:p>
      <w:pPr>
        <w:numPr>
          <w:ilvl w:val="0"/>
          <w:numId w:val="11"/>
        </w:numPr>
        <w:spacing w:after="60"/>
      </w:pPr>
      <w:r>
        <w:rPr>
          <w:b/>
        </w:rPr>
        <w:t xml:space="preserve">GRC Platforms</w:t>
      </w:r>
      <w:r>
        <w:t xml:space="preserve"> → </w:t>
      </w:r>
      <w:r>
        <w:rPr>
          <w:b/>
        </w:rPr>
        <w:t xml:space="preserve">Sync now</w:t>
      </w:r>
      <w:r>
        <w:t xml:space="preserve"> next to Vanta / Drata / OneTrust / Secureframe.</w:t>
      </w:r>
    </w:p>
    <w:p>
      <w:pPr>
        <w:numPr>
          <w:ilvl w:val="0"/>
          <w:numId w:val="11"/>
        </w:numPr>
        <w:spacing w:after="60"/>
      </w:pPr>
      <w:r>
        <w:t xml:space="preserve">The connecting-window modal shows live progress; on failure it names the exact missing credential (e.g.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VANTA_CLIENT_ID</w:t>
      </w:r>
      <w:r>
        <w:t xml:space="preserve">) rather than a bare error code.</w:t>
      </w:r>
    </w:p>
    <w:p>
      <w:pPr>
        <w:numPr>
          <w:ilvl w:val="0"/>
          <w:numId w:val="11"/>
        </w:numPr>
        <w:spacing w:after="60"/>
      </w:pPr>
      <w:r>
        <w:t xml:space="preserve">Inherited results are kept in their own trust lane — check </w:t>
      </w:r>
      <w:r>
        <w:rPr>
          <w:b/>
        </w:rPr>
        <w:t xml:space="preserve">Trust Telemetry</w:t>
      </w:r>
      <w:r>
        <w:t xml:space="preserve"> to see them fused (not merged) with native evidence.</w:t>
      </w:r>
    </w:p>
    <w:p>
      <w:pPr>
        <w:pStyle w:val="Heading3"/>
      </w:pPr>
      <w:r>
        <w:t xml:space="preserve">Ingest a standards-format evidence document</w:t>
      </w:r>
    </w:p>
    <w:p>
      <w:pPr>
        <w:numPr>
          <w:ilvl w:val="0"/>
          <w:numId w:val="12"/>
        </w:numPr>
        <w:spacing w:after="60"/>
      </w:pPr>
      <w:r>
        <w:rPr>
          <w:b/>
        </w:rPr>
        <w:t xml:space="preserve">Standards Ingest</w:t>
      </w:r>
      <w:r>
        <w:t xml:space="preserve"> → pick a format → </w:t>
      </w:r>
      <w:r>
        <w:rPr>
          <w:b/>
        </w:rPr>
        <w:t xml:space="preserve">Load example</w:t>
      </w:r>
      <w:r>
        <w:t xml:space="preserve"> (or paste your own document).</w:t>
      </w:r>
    </w:p>
    <w:p>
      <w:pPr>
        <w:numPr>
          <w:ilvl w:val="0"/>
          <w:numId w:val="12"/>
        </w:numPr>
        <w:spacing w:after="60"/>
      </w:pPr>
      <w:r>
        <w:rPr>
          <w:b/>
        </w:rPr>
        <w:t xml:space="preserve">Ingest</w:t>
      </w:r>
      <w:r>
        <w:t xml:space="preserve"> — the response shows how many records were persisted as findings vs. observed-only (build provenance and signatures persist as PASS attestations; threat-intel context is observed-only, never an invented verdict).</w:t>
      </w:r>
    </w:p>
    <w:p>
      <w:pPr>
        <w:pStyle w:val="Heading3"/>
      </w:pPr>
      <w:r>
        <w:t xml:space="preserve">Triage a finding</w:t>
      </w:r>
    </w:p>
    <w:p>
      <w:pPr>
        <w:numPr>
          <w:ilvl w:val="0"/>
          <w:numId w:val="13"/>
        </w:numPr>
        <w:spacing w:after="60"/>
      </w:pPr>
      <w:r>
        <w:rPr>
          <w:b/>
        </w:rPr>
        <w:t xml:space="preserve">Findings</w:t>
      </w:r>
      <w:r>
        <w:t xml:space="preserve"> → click a row.</w:t>
      </w:r>
    </w:p>
    <w:p>
      <w:pPr>
        <w:numPr>
          <w:ilvl w:val="0"/>
          <w:numId w:val="13"/>
        </w:numPr>
        <w:spacing w:after="60"/>
      </w:pPr>
      <w:r>
        <w:rPr>
          <w:b/>
        </w:rPr>
        <w:t xml:space="preserve">Mark resolved</w:t>
      </w:r>
      <w:r>
        <w:t xml:space="preserve">, </w:t>
      </w:r>
      <w:r>
        <w:rPr>
          <w:b/>
        </w:rPr>
        <w:t xml:space="preserve">Accept risk</w:t>
      </w:r>
      <w:r>
        <w:t xml:space="preserve">, or </w:t>
      </w:r>
      <w:r>
        <w:rPr>
          <w:b/>
        </w:rPr>
        <w:t xml:space="preserve">Create ticket</w:t>
      </w:r>
      <w:r>
        <w:t xml:space="preserve"> from the drawer.</w:t>
      </w:r>
    </w:p>
    <w:p>
      <w:pPr>
        <w:pStyle w:val="Heading3"/>
      </w:pPr>
      <w:r>
        <w:t xml:space="preserve">Answer “were we compliant on March 1st?”</w:t>
      </w:r>
    </w:p>
    <w:p>
      <w:pPr>
        <w:numPr>
          <w:ilvl w:val="0"/>
          <w:numId w:val="14"/>
        </w:numPr>
        <w:spacing w:after="60"/>
      </w:pPr>
      <w:r>
        <w:rPr>
          <w:b/>
        </w:rPr>
        <w:t xml:space="preserve">As-of / Timeline</w:t>
      </w:r>
      <w:r>
        <w:t xml:space="preserve"> → set the date/time → </w:t>
      </w:r>
      <w:r>
        <w:rPr>
          <w:b/>
        </w:rPr>
        <w:t xml:space="preserve">Reconstruct</w:t>
      </w:r>
      <w:r>
        <w:t xml:space="preserve">.</w:t>
      </w:r>
    </w:p>
    <w:p>
      <w:pPr>
        <w:numPr>
          <w:ilvl w:val="0"/>
          <w:numId w:val="14"/>
        </w:numPr>
        <w:spacing w:after="60"/>
      </w:pPr>
      <w:r>
        <w:t xml:space="preserve">Or look up one control’s full history with </w:t>
      </w:r>
      <w:r>
        <w:rPr>
          <w:b/>
        </w:rPr>
        <w:t xml:space="preserve">Control timeline</w:t>
      </w:r>
      <w:r>
        <w:t xml:space="preserve">.</w:t>
      </w:r>
    </w:p>
    <w:p>
      <w:pPr>
        <w:pStyle w:val="Heading3"/>
      </w:pPr>
      <w:r>
        <w:t xml:space="preserve">Verify the agent decision log hasn’t been tampered with</w:t>
      </w:r>
    </w:p>
    <w:p>
      <w:pPr>
        <w:numPr>
          <w:ilvl w:val="0"/>
          <w:numId w:val="15"/>
        </w:numPr>
        <w:spacing w:after="60"/>
      </w:pPr>
      <w:r>
        <w:rPr>
          <w:b/>
        </w:rPr>
        <w:t xml:space="preserve">Agent Log</w:t>
      </w:r>
      <w:r>
        <w:t xml:space="preserve"> — the </w:t>
      </w:r>
      <w:r>
        <w:rPr>
          <w:i/>
        </w:rPr>
        <w:t xml:space="preserve">Chain integrity</w:t>
      </w:r>
      <w:r>
        <w:t xml:space="preserve"> readout shows </w:t>
      </w:r>
      <w:r>
        <w:rPr>
          <w:b/>
        </w:rPr>
        <w:t xml:space="preserve">Verified</w:t>
      </w:r>
      <w:r>
        <w:t xml:space="preserve"> or </w:t>
      </w:r>
      <w:r>
        <w:rPr>
          <w:b/>
        </w:rPr>
        <w:t xml:space="preserve">Broken</w:t>
      </w:r>
      <w:r>
        <w:t xml:space="preserve">.</w:t>
      </w:r>
    </w:p>
    <w:p>
      <w:pPr>
        <w:numPr>
          <w:ilvl w:val="0"/>
          <w:numId w:val="15"/>
        </w:numPr>
        <w:spacing w:after="60"/>
      </w:pPr>
      <w:r>
        <w:t xml:space="preserve">A broken chain names which record(s) failed hash verification (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GET /v1/agents/actions/verify</w:t>
      </w:r>
      <w:r>
        <w:t xml:space="preserve">).</w:t>
      </w:r>
    </w:p>
    <w:p>
      <w:pPr>
        <w:pStyle w:val="Heading3"/>
      </w:pPr>
      <w:r>
        <w:t xml:space="preserve">Produce an audit package</w:t>
      </w:r>
    </w:p>
    <w:p>
      <w:pPr>
        <w:spacing w:after="120"/>
      </w:pPr>
      <w:r>
        <w:rPr>
          <w:b/>
        </w:rPr>
        <w:t xml:space="preserve">Reports</w:t>
      </w:r>
      <w:r>
        <w:t xml:space="preserve"> → PDF (board-ready), CSV (flat evidence export), or one of three OSCAL documents (Assessment Results, POA&amp;M, Component Definition). For a full engagement with evidence requests and reviewer sign-off, use </w:t>
      </w:r>
      <w:r>
        <w:rPr>
          <w:b/>
        </w:rPr>
        <w:t xml:space="preserve">Audits</w:t>
      </w:r>
      <w:r>
        <w:t xml:space="preserve"> instead — create an engagement, track requests, then </w:t>
      </w:r>
      <w:r>
        <w:rPr>
          <w:b/>
        </w:rPr>
        <w:t xml:space="preserve">Export</w:t>
      </w:r>
      <w:r>
        <w:t xml:space="preserve">.</w:t>
      </w:r>
    </w:p>
    <w:p>
      <w:pPr>
        <w:pStyle w:val="Heading3"/>
      </w:pPr>
      <w:r>
        <w:t xml:space="preserve">Register and score an AI system</w:t>
      </w:r>
    </w:p>
    <w:p>
      <w:pPr>
        <w:spacing w:after="120"/>
      </w:pPr>
      <w:r>
        <w:rPr>
          <w:b/>
        </w:rPr>
        <w:t xml:space="preserve">AI Inventory</w:t>
      </w:r>
      <w:r>
        <w:t xml:space="preserve"> — the system list reads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/ai-systems</w:t>
      </w:r>
      <w:r>
        <w:t xml:space="preserve">; governance scoring runs through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/v1/ai-gov/*</w:t>
      </w:r>
      <w:r>
        <w:t xml:space="preserve"> (PET catalog, per-system risk).</w:t>
      </w:r>
    </w:p>
    <w:p>
      <w:pPr>
        <w:pStyle w:val="Heading1"/>
      </w:pPr>
      <w:r>
        <w:t xml:space="preserve">6. API access</w:t>
      </w:r>
    </w:p>
    <w:p>
      <w:pPr>
        <w:spacing w:after="120"/>
      </w:pPr>
      <w:r>
        <w:t xml:space="preserve">Interactive docs (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/docs</w:t>
      </w:r>
      <w:r>
        <w:t xml:space="preserve">,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/redoc</w:t>
      </w:r>
      <w:r>
        <w:t xml:space="preserve">,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/openapi.json</w:t>
      </w:r>
      <w:r>
        <w:t xml:space="preserve">) are served automatically outside production, or in production if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EXPOSE_API_DOCS=true</w:t>
      </w:r>
      <w:r>
        <w:t xml:space="preserve"> is set — otherwise they’re off by default in production (the full API surface is sensitive to disclose).</w:t>
      </w:r>
    </w:p>
    <w:p>
      <w:pPr>
        <w:shd w:val="clear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  <w:spacing w:before="80" w:after="160"/>
        <w:ind w:left="120" w:right="120"/>
      </w:pPr>
      <w:r>
        <w:rPr>
          <w:rFonts w:ascii="Courier New" w:hAnsi="Courier New" w:cs="Courier New"/>
          <w:shd w:val="clear" w:fill="F2F2F2"/>
          <w:sz w:val="19"/>
          <w:szCs w:val="19"/>
        </w:rPr>
        <w:t xml:space="preserve">curl -H "X-API-Key: &lt;your key&gt;" \</w:t>
      </w:r>
      <w:r>
        <w:br/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  "https://your-instance/summary?tenant_id=default"</w:t>
      </w:r>
    </w:p>
    <w:p>
      <w:pPr>
        <w:spacing w:after="120"/>
      </w:pPr>
      <w:r>
        <w:t xml:space="preserve">The dashboard uses a small fraction of the ~150 routes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app/main.py</w:t>
      </w:r>
      <w:r>
        <w:t xml:space="preserve"> exposes — everything in Section 4’s tables plus the full CRUD surface behind Audits, Risk Register, and Vendors. Two notable API-only capabilities with no dashboard UI yet: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Waivers</w:t>
      </w:r>
      <w:r>
        <w:t xml:space="preserve"> (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POST/GET/DELETE /waivers</w:t>
      </w:r>
      <w:r>
        <w:t xml:space="preserve">) — a formal, approver-tracked exception record, distinct from a finding’s 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risk_accepted</w:t>
      </w:r>
      <w:r>
        <w:t xml:space="preserve"> lifecycle state. No dashboard button creates one yet; use the API.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NL policy authoring</w:t>
      </w:r>
      <w:r>
        <w:t xml:space="preserve"> (</w:t>
      </w:r>
      <w:r>
        <w:rPr>
          <w:rFonts w:ascii="Courier New" w:hAnsi="Courier New" w:cs="Courier New"/>
          <w:shd w:val="clear" w:fill="F2F2F2"/>
          <w:sz w:val="19"/>
          <w:szCs w:val="19"/>
        </w:rPr>
        <w:t xml:space="preserve">POST /policy/draft</w:t>
      </w:r>
      <w:r>
        <w:t xml:space="preserve">) — see the callout in Section 4.</w:t>
      </w:r>
    </w:p>
    <w:p>
      <w:pPr>
        <w:shd w:val="clear" w:fill="F0F4FA"/>
        <w:pBdr>
          <w:left w:val="single" w:sz="24" w:space="8" w:color="0B2F6B"/>
        </w:pBdr>
        <w:spacing w:after="200"/>
      </w:pPr>
      <w:r>
        <w:rPr>
          <w:b/>
        </w:rPr>
        <w:t xml:space="preserve">See also:  </w:t>
      </w:r>
      <w:r>
        <w:rPr>
          <w:b/>
        </w:rPr>
        <w:t xml:space="preserve">README.md</w:t>
      </w:r>
      <w:r>
        <w:t xml:space="preserve"> (what Comp‑Lens is and why)   ·   </w:t>
      </w:r>
      <w:r>
        <w:rPr>
          <w:b/>
        </w:rPr>
        <w:t xml:space="preserve">ARCHITECTURE.md</w:t>
      </w:r>
      <w:r>
        <w:t xml:space="preserve"> (how it’s built, mapped against the autonomous-GRC standards stack — OSCAL, OCSF, SARIF, CycloneDX, SPDX, in-toto/SLSA, STIX, Sigstore)   ·   </w:t>
      </w:r>
      <w:r>
        <w:rPr>
          <w:b/>
        </w:rPr>
        <w:t xml:space="preserve">DEPLOY.md</w:t>
      </w:r>
      <w:r>
        <w:t xml:space="preserve"> (deployment specifics)</w:t>
      </w:r>
    </w:p>
    <w:p>
      <w:pPr>
        <w:spacing w:after="120"/>
      </w:pPr>
      <w:r>
        <w:rPr>
          <w:i/>
          <w:color w:val="888888"/>
          <w:sz w:val="17"/>
          <w:szCs w:val="17"/>
        </w:rPr>
        <w:t xml:space="preserve">Generated from the Comp-Lens repository’s HOW_TO_USE.md, cross-verified against app/main.py and app/static/dashboard.html.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540" w:hanging="360"/>
      </w:pPr>
    </w:lvl>
  </w:abstractNum>
  <w:abstractNum w:abstractNumId="1">
    <w:lvl w:ilvl="0">
      <w:start w:val="1"/>
      <w:numFmt w:val="bullet"/>
      <w:lvlText w:val="•"/>
      <w:lvlJc w:val="left"/>
      <w:pPr>
        <w:ind w:left="540" w:hanging="360"/>
      </w:pPr>
      <w:rPr>
        <w:rFonts w:ascii="Symbol" w:hAnsi="Symbol" w:hint="default"/>
      </w:rPr>
    </w:lvl>
  </w:abstractNum>
  <w:num w:numId="2">
    <w:abstractNumId w:val="1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Style">
    <w:name w:val="Title"/>
    <w:basedOn w:val="Normal"/>
    <w:pPr>
      <w:spacing w:before="0" w:after="60"/>
    </w:pPr>
    <w:rPr>
      <w:rFonts w:ascii="Calibri Light" w:hAnsi="Calibri Light"/>
      <w:b/>
      <w:color w:val="0B2F6B"/>
      <w:sz w:val="52"/>
      <w:szCs w:val="52"/>
    </w:rPr>
  </w:style>
  <w:style w:type="paragraph" w:styleId="Heading1">
    <w:name w:val="heading 1"/>
    <w:basedOn w:val="Normal"/>
    <w:next w:val="Normal"/>
    <w:pPr>
      <w:keepNext/>
      <w:spacing w:before="320" w:after="160"/>
      <w:pBdr>
        <w:bottom w:val="single" w:sz="6" w:space="4" w:color="0B2F6B"/>
      </w:pBdr>
    </w:pPr>
    <w:rPr>
      <w:b/>
      <w:color w:val="0B2F6B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100"/>
    </w:pPr>
    <w:rPr>
      <w:b/>
      <w:color w:val="0B2F6B"/>
      <w:sz w:val="25"/>
      <w:szCs w:val="25"/>
    </w:rPr>
  </w:style>
  <w:style w:type="paragraph" w:styleId="Heading3">
    <w:name w:val="heading 3"/>
    <w:basedOn w:val="Normal"/>
    <w:next w:val="Normal"/>
    <w:pPr>
      <w:keepNext/>
      <w:spacing w:before="160" w:after="60"/>
    </w:pPr>
    <w:rPr>
      <w:b/>
      <w:color w:val="0B2F6B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Comp-Lens docgen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How to Use Comp-Lens</dc:title>
  <dc:subject>Comp-Lens operator guide</dc:subject>
  <dc:creator>Comp-Lens</dc:creator>
  <cp:lastModifiedBy>Comp-Lens</cp:lastModifiedBy>
  <dcterms:created xsi:type="dcterms:W3CDTF">2026-08-24T00:00:00Z</dcterms:created>
  <dcterms:modified xsi:type="dcterms:W3CDTF">2026-08-24T00:00:00Z</dcterms:modified>
</cp:coreProperties>
</file>