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Marketing Analytics: Sentiment &amp; ROI Strategic Report</w:t>
      </w:r>
    </w:p>
    <w:p>
      <w:pPr>
        <w:pStyle w:val="Heading1"/>
      </w:pPr>
      <w:r>
        <w:t>1. Executive Summary</w:t>
      </w:r>
    </w:p>
    <w:p>
      <w:r>
        <w:t>This report provides a comprehensive analysis of marketing performance by integrating financial metrics (ROAS) with customer psychological states (Sentiment). The objective is to identify the most effective channels for sustainable growth and brand loyalty.</w:t>
      </w:r>
    </w:p>
    <w:p>
      <w:pPr>
        <w:pStyle w:val="Heading1"/>
      </w:pPr>
      <w:r>
        <w:t>2. Analytical Methodology</w:t>
      </w:r>
    </w:p>
    <w:p>
      <w:r>
        <w:t>Data was processed from 300 customer interactions. Sentiment was extracted using a proprietary keyword-based NLP model, while ROI was calculated based on the ratio between total purchase value and advertising expenditure.</w:t>
      </w:r>
    </w:p>
    <w:p>
      <w:pPr>
        <w:pStyle w:val="Heading1"/>
      </w:pPr>
      <w:r>
        <w:t>3. Visual Data Insights</w:t>
      </w:r>
    </w:p>
    <w:p>
      <w:pPr>
        <w:pStyle w:val="Heading2"/>
      </w:pPr>
      <w:r>
        <w:t>3.1 Return on Ad Spend (ROAS) per Channel</w:t>
      </w:r>
    </w:p>
    <w:p>
      <w:r>
        <w:drawing>
          <wp:inline xmlns:a="http://schemas.openxmlformats.org/drawingml/2006/main" xmlns:pic="http://schemas.openxmlformats.org/drawingml/2006/picture">
            <wp:extent cx="5029200" cy="3017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nnel_ro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1: This chart highlights the financial efficiency of each marketing channel, allowing for data-driven budget reallocation.</w:t>
      </w:r>
    </w:p>
    <w:p>
      <w:r>
        <w:br w:type="page"/>
      </w:r>
    </w:p>
    <w:p>
      <w:pPr>
        <w:pStyle w:val="Heading2"/>
      </w:pPr>
      <w:r>
        <w:t>3.2 Customer Sentiment Breakdown</w:t>
      </w:r>
    </w:p>
    <w:p>
      <w:r>
        <w:drawing>
          <wp:inline xmlns:a="http://schemas.openxmlformats.org/drawingml/2006/main" xmlns:pic="http://schemas.openxmlformats.org/drawingml/2006/picture">
            <wp:extent cx="5029200" cy="3017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ntiment_breakdow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2: A breakdown of customer emotions per channel. This metric identifies potential brand risks where high sales might coincide with negative feedback.</w:t>
      </w:r>
    </w:p>
    <w:p>
      <w:pPr>
        <w:pStyle w:val="Heading1"/>
      </w:pPr>
      <w:r>
        <w:t>4. Strategic Recommendations</w:t>
      </w:r>
    </w:p>
    <w:p>
      <w:r>
        <w:t>1. Scale budgets for channels showing high Positive Sentiment and ROAS.</w:t>
        <w:br/>
        <w:t>2. Audit the 'Negative' sentiment clusters to improve product descriptions or support.</w:t>
        <w:br/>
        <w:t>3. Transition towards a humanized marketing model that prioritizes long-term brand equity.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