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TMF API Sample Requests and Responses for Megaport Service Flows (With TMF Standards)</w:t>
      </w:r>
    </w:p>
    <w:p>
      <w:pPr>
        <w:pStyle w:val="Title"/>
      </w:pPr>
      <w:r>
        <w:t>TMF API Sample Requests and Responses for Megaport Service Flows (Updated)</w:t>
      </w:r>
    </w:p>
    <w:p>
      <w:pPr>
        <w:pStyle w:val="Normal"/>
      </w:pPr>
      <w:r>
        <w:t>This document provides sample TM Forum API requests and responses for provisioning Megaport services including Port, VXC, Cloud On-Ramp, and MCR. The productOffering API includes multi-location results, and pricing APIs reflect various contract terms.</w:t>
      </w:r>
    </w:p>
    <w:p>
      <w:pPr>
        <w:pStyle w:val="Heading1"/>
      </w:pPr>
      <w:r>
        <w:t>Port Provisioning</w:t>
      </w:r>
    </w:p>
    <w:p>
      <w:pPr>
        <w:pStyle w:val="Normal"/>
      </w:pPr>
      <w:r>
        <w:t>Provisioning a physical port including multi-location offerings, pricing based on contract term, and LOA retrieval.</w:t>
      </w:r>
    </w:p>
    <w:p>
      <w:pPr>
        <w:pStyle w:val="Heading2"/>
      </w:pPr>
      <w:r>
        <w:t>GET /productCatalogManagement/productOffering</w:t>
      </w:r>
    </w:p>
    <w:p>
      <w:pPr>
        <w:pStyle w:val="IntenseQuote"/>
      </w:pPr>
      <w:r>
        <w:t>TMF API Standard: TMF620 - Product Catalog Management</w:t>
      </w:r>
    </w:p>
    <w:p>
      <w:pPr>
        <w:pStyle w:val="Normal"/>
      </w:pPr>
      <w:r>
        <w:t>Purpose: Fetch port offerings across multiple locations</w:t>
      </w:r>
    </w:p>
    <w:p>
      <w:pPr>
        <w:pStyle w:val="Normal"/>
      </w:pPr>
      <w:r>
        <w:t>Request:</w:t>
      </w:r>
    </w:p>
    <w:p>
      <w:pPr>
        <w:pStyle w:val="IntenseQuote"/>
      </w:pPr>
      <w:r>
        <w:t>{}</w:t>
      </w:r>
    </w:p>
    <w:p>
      <w:pPr>
        <w:pStyle w:val="Normal"/>
      </w:pPr>
      <w:r>
        <w:t>Response:</w:t>
      </w:r>
    </w:p>
    <w:p>
      <w:pPr>
        <w:pStyle w:val="IntenseQuote"/>
      </w:pPr>
      <w:r>
        <w:t>{</w:t>
        <w:br/>
        <w:t xml:space="preserve">  "productOffering": [</w:t>
        <w:br/>
        <w:t xml:space="preserve">    { "id": "port-10g-dallas", "name": "10G Port - Dallas" },</w:t>
        <w:br/>
        <w:t xml:space="preserve">    { "id": "port-10g-chicago", "name": "10G Port - Chicago" },</w:t>
        <w:br/>
        <w:t xml:space="preserve">    { "id": "port-100g-ashburn", "name": "100G Port - Ashburn" }</w:t>
        <w:br/>
        <w:t xml:space="preserve">  ]</w:t>
        <w:br/>
        <w:t>}</w:t>
      </w:r>
    </w:p>
    <w:p>
      <w:pPr>
        <w:pStyle w:val="Heading2"/>
      </w:pPr>
      <w:r>
        <w:t>GET /productOfferingPriceManagement/productOfferingPrice</w:t>
      </w:r>
    </w:p>
    <w:p>
      <w:pPr>
        <w:pStyle w:val="IntenseQuote"/>
      </w:pPr>
      <w:r>
        <w:t>TMF API Standard: TMF655 - Product Offering Price Management</w:t>
      </w:r>
    </w:p>
    <w:p>
      <w:pPr>
        <w:pStyle w:val="Normal"/>
      </w:pPr>
      <w:r>
        <w:t>Purpose: Get pricing by location and contract term</w:t>
      </w:r>
    </w:p>
    <w:p>
      <w:pPr>
        <w:pStyle w:val="Normal"/>
      </w:pPr>
      <w:r>
        <w:t>Request:</w:t>
      </w:r>
    </w:p>
    <w:p>
      <w:pPr>
        <w:pStyle w:val="IntenseQuote"/>
      </w:pPr>
      <w:r>
        <w:t>{ "offeringId": "port-10g-dallas" }</w:t>
      </w:r>
    </w:p>
    <w:p>
      <w:pPr>
        <w:pStyle w:val="Normal"/>
      </w:pPr>
      <w:r>
        <w:t>Response:</w:t>
      </w:r>
    </w:p>
    <w:p>
      <w:pPr>
        <w:pStyle w:val="IntenseQuote"/>
      </w:pPr>
      <w:r>
        <w:t>{</w:t>
        <w:br/>
        <w:t xml:space="preserve">  "price": [</w:t>
        <w:br/>
        <w:t xml:space="preserve">    {</w:t>
        <w:br/>
        <w:t xml:space="preserve">      "amount": { "value": 1800, "currency": "USD" },</w:t>
        <w:br/>
        <w:t xml:space="preserve">      "recurringChargePeriod": "monthly",</w:t>
        <w:br/>
        <w:t xml:space="preserve">      "priceAlteration": { "name": "12-month contract discount", "percentage": 10 }</w:t>
        <w:br/>
        <w:t xml:space="preserve">    },</w:t>
        <w:br/>
        <w:t xml:space="preserve">    {</w:t>
        <w:br/>
        <w:t xml:space="preserve">      "amount": { "value": 2000, "currency": "USD" },</w:t>
        <w:br/>
        <w:t xml:space="preserve">      "recurringChargePeriod": "monthly",</w:t>
        <w:br/>
        <w:t xml:space="preserve">      "priceAlteration": { "name": "Month-to-month", "percentage": 0 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POST /productOrdering/productOrder</w:t>
      </w:r>
    </w:p>
    <w:p>
      <w:pPr>
        <w:pStyle w:val="IntenseQuote"/>
      </w:pPr>
      <w:r>
        <w:t>TMF API Standard: TMF622 - Product Ordering Management</w:t>
      </w:r>
    </w:p>
    <w:p>
      <w:pPr>
        <w:pStyle w:val="Normal"/>
      </w:pPr>
      <w:r>
        <w:t>Purpose: Submit port order with 12-month contract</w:t>
      </w:r>
    </w:p>
    <w:p>
      <w:pPr>
        <w:pStyle w:val="Normal"/>
      </w:pPr>
      <w:r>
        <w:t>Request:</w:t>
      </w:r>
    </w:p>
    <w:p>
      <w:pPr>
        <w:pStyle w:val="IntenseQuote"/>
      </w:pPr>
      <w:r>
        <w:t>{</w:t>
        <w:br/>
        <w:t xml:space="preserve">  "product": [{</w:t>
        <w:br/>
        <w:t xml:space="preserve">    "productOffering": { "id": "port-10g-dallas" },</w:t>
        <w:br/>
        <w:t xml:space="preserve">    "productSpecification": { "id": "eth-port" },</w:t>
        <w:br/>
        <w:t xml:space="preserve">    "place": { "id": "eqx-dfw1" },</w:t>
        <w:br/>
        <w:t xml:space="preserve">    "action": "add",</w:t>
        <w:br/>
        <w:t xml:space="preserve">    "contract": { "duration": "12", "unit": "month" }</w:t>
        <w:br/>
        <w:t xml:space="preserve">  }]</w:t>
        <w:br/>
        <w:t>}</w:t>
      </w:r>
    </w:p>
    <w:p>
      <w:pPr>
        <w:pStyle w:val="Normal"/>
      </w:pPr>
      <w:r>
        <w:t>Response:</w:t>
      </w:r>
    </w:p>
    <w:p>
      <w:pPr>
        <w:pStyle w:val="IntenseQuote"/>
      </w:pPr>
      <w:r>
        <w:t>{ "id": "PO-10001", "state": "acknowledged" }</w:t>
      </w:r>
    </w:p>
    <w:p>
      <w:pPr>
        <w:pStyle w:val="Heading2"/>
      </w:pPr>
      <w:r>
        <w:t>GET /productOrdering/productOrder/PO-10001</w:t>
      </w:r>
    </w:p>
    <w:p>
      <w:pPr>
        <w:pStyle w:val="IntenseQuote"/>
      </w:pPr>
      <w:r>
        <w:t>TMF API Standard: TMF622 - Product Ordering Management</w:t>
      </w:r>
    </w:p>
    <w:p>
      <w:pPr>
        <w:pStyle w:val="Normal"/>
      </w:pPr>
      <w:r>
        <w:t>Purpose: Track order status</w:t>
      </w:r>
    </w:p>
    <w:p>
      <w:pPr>
        <w:pStyle w:val="Normal"/>
      </w:pPr>
      <w:r>
        <w:t>Request:</w:t>
      </w:r>
    </w:p>
    <w:p>
      <w:pPr>
        <w:pStyle w:val="IntenseQuote"/>
      </w:pPr>
    </w:p>
    <w:p>
      <w:pPr>
        <w:pStyle w:val="Normal"/>
      </w:pPr>
      <w:r>
        <w:t>Response:</w:t>
      </w:r>
    </w:p>
    <w:p>
      <w:pPr>
        <w:pStyle w:val="IntenseQuote"/>
      </w:pPr>
      <w:r>
        <w:t>{ "id": "PO-10001", "state": "completed" }</w:t>
      </w:r>
    </w:p>
    <w:p>
      <w:pPr>
        <w:pStyle w:val="Heading2"/>
      </w:pPr>
      <w:r>
        <w:t>GET /serviceInventory/service/PORT-010/attachment</w:t>
      </w:r>
    </w:p>
    <w:p>
      <w:pPr>
        <w:pStyle w:val="IntenseQuote"/>
      </w:pPr>
      <w:r>
        <w:t>TMF API Standard: TMF638 - Service Inventory Management</w:t>
      </w:r>
    </w:p>
    <w:p>
      <w:pPr>
        <w:pStyle w:val="Normal"/>
      </w:pPr>
      <w:r>
        <w:t>Purpose: Download LOA</w:t>
      </w:r>
    </w:p>
    <w:p>
      <w:pPr>
        <w:pStyle w:val="Normal"/>
      </w:pPr>
      <w:r>
        <w:t>Request:</w:t>
      </w:r>
    </w:p>
    <w:p>
      <w:pPr>
        <w:pStyle w:val="IntenseQuote"/>
      </w:pPr>
    </w:p>
    <w:p>
      <w:pPr>
        <w:pStyle w:val="Normal"/>
      </w:pPr>
      <w:r>
        <w:t>Response:</w:t>
      </w:r>
    </w:p>
    <w:p>
      <w:pPr>
        <w:pStyle w:val="IntenseQuote"/>
      </w:pPr>
      <w:r>
        <w:t>{</w:t>
        <w:br/>
        <w:t xml:space="preserve">  "attachment": [{ "url": "https://megaport.com/loa/PORT-010.pdf", "type": "application/pdf" }]</w:t>
        <w:br/>
        <w:t>}</w:t>
      </w:r>
    </w:p>
    <w:p>
      <w:pPr>
        <w:pStyle w:val="Heading1"/>
      </w:pPr>
      <w:r>
        <w:t>VXC Setup</w:t>
      </w:r>
    </w:p>
    <w:p>
      <w:pPr>
        <w:pStyle w:val="Normal"/>
      </w:pPr>
      <w:r>
        <w:t>Provision a Virtual Cross Connect between ports and cloud endpoints, including contract-based pricing.</w:t>
      </w:r>
    </w:p>
    <w:p>
      <w:pPr>
        <w:pStyle w:val="Heading2"/>
      </w:pPr>
      <w:r>
        <w:t>GET /productCatalogManagement/productOffering</w:t>
      </w:r>
    </w:p>
    <w:p>
      <w:pPr>
        <w:pStyle w:val="IntenseQuote"/>
      </w:pPr>
      <w:r>
        <w:t>TMF API Standard: TMF620 - Product Catalog Management</w:t>
      </w:r>
    </w:p>
    <w:p>
      <w:pPr>
        <w:pStyle w:val="Normal"/>
      </w:pPr>
      <w:r>
        <w:t>Purpose: Fetch available VXC offerings</w:t>
      </w:r>
    </w:p>
    <w:p>
      <w:pPr>
        <w:pStyle w:val="Normal"/>
      </w:pPr>
      <w:r>
        <w:t>Request:</w:t>
      </w:r>
    </w:p>
    <w:p>
      <w:pPr>
        <w:pStyle w:val="IntenseQuote"/>
      </w:pPr>
      <w:r>
        <w:t>{}</w:t>
      </w:r>
    </w:p>
    <w:p>
      <w:pPr>
        <w:pStyle w:val="Normal"/>
      </w:pPr>
      <w:r>
        <w:t>Response:</w:t>
      </w:r>
    </w:p>
    <w:p>
      <w:pPr>
        <w:pStyle w:val="IntenseQuote"/>
      </w:pPr>
      <w:r>
        <w:t>{</w:t>
        <w:br/>
        <w:t xml:space="preserve">  "productOffering": [</w:t>
        <w:br/>
        <w:t xml:space="preserve">    { "id": "vxc-aws-dallas", "name": "VXC to AWS - Dallas" },</w:t>
        <w:br/>
        <w:t xml:space="preserve">    { "id": "vxc-gcp-ashburn", "name": "VXC to GCP - Ashburn" }</w:t>
        <w:br/>
        <w:t xml:space="preserve">  ]</w:t>
        <w:br/>
        <w:t>}</w:t>
      </w:r>
    </w:p>
    <w:p>
      <w:pPr>
        <w:pStyle w:val="Heading2"/>
      </w:pPr>
      <w:r>
        <w:t>GET /productOfferingPriceManagement/productOfferingPrice</w:t>
      </w:r>
    </w:p>
    <w:p>
      <w:pPr>
        <w:pStyle w:val="IntenseQuote"/>
      </w:pPr>
      <w:r>
        <w:t>TMF API Standard: TMF655 - Product Offering Price Management</w:t>
      </w:r>
    </w:p>
    <w:p>
      <w:pPr>
        <w:pStyle w:val="Normal"/>
      </w:pPr>
      <w:r>
        <w:t>Purpose: VXC pricing by bandwidth and term</w:t>
      </w:r>
    </w:p>
    <w:p>
      <w:pPr>
        <w:pStyle w:val="Normal"/>
      </w:pPr>
      <w:r>
        <w:t>Request:</w:t>
      </w:r>
    </w:p>
    <w:p>
      <w:pPr>
        <w:pStyle w:val="IntenseQuote"/>
      </w:pPr>
      <w:r>
        <w:t>{ "offeringId": "vxc-aws-dallas" }</w:t>
      </w:r>
    </w:p>
    <w:p>
      <w:pPr>
        <w:pStyle w:val="Normal"/>
      </w:pPr>
      <w:r>
        <w:t>Response:</w:t>
      </w:r>
    </w:p>
    <w:p>
      <w:pPr>
        <w:pStyle w:val="IntenseQuote"/>
      </w:pPr>
      <w:r>
        <w:t>{</w:t>
        <w:br/>
        <w:t xml:space="preserve">  "price": [</w:t>
        <w:br/>
        <w:t xml:space="preserve">    { "amount": { "value": 100, "currency": "USD" }, "recurringChargePeriod": "monthly", "term": "monthly" },</w:t>
        <w:br/>
        <w:t xml:space="preserve">    { "amount": { "value": 90, "currency": "USD" }, "recurringChargePeriod": "monthly", "term": "12-month" }</w:t>
        <w:br/>
        <w:t xml:space="preserve">  ]</w:t>
        <w:br/>
        <w:t>}</w:t>
      </w:r>
    </w:p>
    <w:p>
      <w:pPr>
        <w:pStyle w:val="Heading2"/>
      </w:pPr>
      <w:r>
        <w:t>POST /productOrdering/productOrder</w:t>
      </w:r>
    </w:p>
    <w:p>
      <w:pPr>
        <w:pStyle w:val="IntenseQuote"/>
      </w:pPr>
      <w:r>
        <w:t>TMF API Standard: TMF622 - Product Ordering Management</w:t>
      </w:r>
    </w:p>
    <w:p>
      <w:pPr>
        <w:pStyle w:val="Normal"/>
      </w:pPr>
      <w:r>
        <w:t>Purpose: Submit VXC order with 12-month term</w:t>
      </w:r>
    </w:p>
    <w:p>
      <w:pPr>
        <w:pStyle w:val="Normal"/>
      </w:pPr>
      <w:r>
        <w:t>Request:</w:t>
      </w:r>
    </w:p>
    <w:p>
      <w:pPr>
        <w:pStyle w:val="IntenseQuote"/>
      </w:pPr>
      <w:r>
        <w:t>{</w:t>
        <w:br/>
        <w:t xml:space="preserve">  "product": [{</w:t>
        <w:br/>
        <w:t xml:space="preserve">    "productOffering": { "id": "vxc-aws-dallas" },</w:t>
        <w:br/>
        <w:t xml:space="preserve">    "action": "add",</w:t>
        <w:br/>
        <w:t xml:space="preserve">    "contract": { "duration": "12", "unit": "month" }</w:t>
        <w:br/>
        <w:t xml:space="preserve">  }]</w:t>
        <w:br/>
        <w:t>}</w:t>
      </w:r>
    </w:p>
    <w:p>
      <w:pPr>
        <w:pStyle w:val="Normal"/>
      </w:pPr>
      <w:r>
        <w:t>Response:</w:t>
      </w:r>
    </w:p>
    <w:p>
      <w:pPr>
        <w:pStyle w:val="IntenseQuote"/>
      </w:pPr>
      <w:r>
        <w:t>{ "id": "PO-20001", "state": "acknowledged" }</w:t>
      </w:r>
    </w:p>
    <w:p>
      <w:pPr>
        <w:pStyle w:val="Heading2"/>
      </w:pPr>
      <w:r>
        <w:t>GET /productOrdering/productOrder/PO-20001</w:t>
      </w:r>
    </w:p>
    <w:p>
      <w:pPr>
        <w:pStyle w:val="IntenseQuote"/>
      </w:pPr>
      <w:r>
        <w:t>TMF API Standard: TMF622 - Product Ordering Management</w:t>
      </w:r>
    </w:p>
    <w:p>
      <w:pPr>
        <w:pStyle w:val="Normal"/>
      </w:pPr>
      <w:r>
        <w:t>Purpose: Check VXC status</w:t>
      </w:r>
    </w:p>
    <w:p>
      <w:pPr>
        <w:pStyle w:val="Normal"/>
      </w:pPr>
      <w:r>
        <w:t>Request:</w:t>
      </w:r>
    </w:p>
    <w:p>
      <w:pPr>
        <w:pStyle w:val="IntenseQuote"/>
      </w:pPr>
    </w:p>
    <w:p>
      <w:pPr>
        <w:pStyle w:val="Normal"/>
      </w:pPr>
      <w:r>
        <w:t>Response:</w:t>
      </w:r>
    </w:p>
    <w:p>
      <w:pPr>
        <w:pStyle w:val="IntenseQuote"/>
      </w:pPr>
      <w:r>
        <w:t>{ "id": "PO-20001", "state": "completed" }</w:t>
      </w:r>
    </w:p>
    <w:p>
      <w:pPr>
        <w:pStyle w:val="Heading1"/>
      </w:pPr>
      <w:r>
        <w:t>Cloud On-Ramp</w:t>
      </w:r>
    </w:p>
    <w:p>
      <w:pPr>
        <w:pStyle w:val="Normal"/>
      </w:pPr>
      <w:r>
        <w:t>Provision cloud-specific VXCs to AWS/GCP/Azure regions using TMF Open APIs.</w:t>
      </w:r>
    </w:p>
    <w:p>
      <w:pPr>
        <w:pStyle w:val="Heading2"/>
      </w:pPr>
      <w:r>
        <w:t>GET /productCatalogManagement/productOffering</w:t>
      </w:r>
    </w:p>
    <w:p>
      <w:pPr>
        <w:pStyle w:val="IntenseQuote"/>
      </w:pPr>
      <w:r>
        <w:t>TMF API Standard: TMF620 - Product Catalog Management</w:t>
      </w:r>
    </w:p>
    <w:p>
      <w:pPr>
        <w:pStyle w:val="Normal"/>
      </w:pPr>
      <w:r>
        <w:t>Purpose: List cloud on-ramp VXC offerings</w:t>
      </w:r>
    </w:p>
    <w:p>
      <w:pPr>
        <w:pStyle w:val="Normal"/>
      </w:pPr>
      <w:r>
        <w:t>Request:</w:t>
      </w:r>
    </w:p>
    <w:p>
      <w:pPr>
        <w:pStyle w:val="IntenseQuote"/>
      </w:pPr>
      <w:r>
        <w:t>{}</w:t>
      </w:r>
    </w:p>
    <w:p>
      <w:pPr>
        <w:pStyle w:val="Normal"/>
      </w:pPr>
      <w:r>
        <w:t>Response:</w:t>
      </w:r>
    </w:p>
    <w:p>
      <w:pPr>
        <w:pStyle w:val="IntenseQuote"/>
      </w:pPr>
      <w:r>
        <w:t>{</w:t>
        <w:br/>
        <w:t xml:space="preserve">  "productOffering": [</w:t>
        <w:br/>
        <w:t xml:space="preserve">    { "id": "aws-vif-ashburn", "name": "AWS Hosted VIF - Ashburn" },</w:t>
        <w:br/>
        <w:t xml:space="preserve">    { "id": "azure-er-dallas", "name": "Azure ExpressRoute - Dallas" }</w:t>
        <w:br/>
        <w:t xml:space="preserve">  ]</w:t>
        <w:br/>
        <w:t>}</w:t>
      </w:r>
    </w:p>
    <w:p>
      <w:pPr>
        <w:pStyle w:val="Heading2"/>
      </w:pPr>
      <w:r>
        <w:t>POST /productOrdering/productOrder</w:t>
      </w:r>
    </w:p>
    <w:p>
      <w:pPr>
        <w:pStyle w:val="IntenseQuote"/>
      </w:pPr>
      <w:r>
        <w:t>TMF API Standard: TMF622 - Product Ordering Management</w:t>
      </w:r>
    </w:p>
    <w:p>
      <w:pPr>
        <w:pStyle w:val="Normal"/>
      </w:pPr>
      <w:r>
        <w:t>Purpose: Provision AWS VIF with monthly term</w:t>
      </w:r>
    </w:p>
    <w:p>
      <w:pPr>
        <w:pStyle w:val="Normal"/>
      </w:pPr>
      <w:r>
        <w:t>Request:</w:t>
      </w:r>
    </w:p>
    <w:p>
      <w:pPr>
        <w:pStyle w:val="IntenseQuote"/>
      </w:pPr>
      <w:r>
        <w:t>{</w:t>
        <w:br/>
        <w:t xml:space="preserve">  "product": [{</w:t>
        <w:br/>
        <w:t xml:space="preserve">    "productOffering": { "id": "aws-vif-ashburn" },</w:t>
        <w:br/>
        <w:t xml:space="preserve">    "action": "add",</w:t>
        <w:br/>
        <w:t xml:space="preserve">    "contract": { "duration": "1", "unit": "month" }</w:t>
        <w:br/>
        <w:t xml:space="preserve">  }]</w:t>
        <w:br/>
        <w:t>}</w:t>
      </w:r>
    </w:p>
    <w:p>
      <w:pPr>
        <w:pStyle w:val="Normal"/>
      </w:pPr>
      <w:r>
        <w:t>Response:</w:t>
      </w:r>
    </w:p>
    <w:p>
      <w:pPr>
        <w:pStyle w:val="IntenseQuote"/>
      </w:pPr>
      <w:r>
        <w:t>{ "id": "PO-30001", "state": "acknowledged" }</w:t>
      </w:r>
    </w:p>
    <w:p>
      <w:pPr>
        <w:pStyle w:val="Heading2"/>
      </w:pPr>
      <w:r>
        <w:t>GET /serviceInventory/service/AWS-VIF-123/note</w:t>
      </w:r>
    </w:p>
    <w:p>
      <w:pPr>
        <w:pStyle w:val="IntenseQuote"/>
      </w:pPr>
      <w:r>
        <w:t>TMF API Standard: TMF638 - Service Inventory Management</w:t>
      </w:r>
    </w:p>
    <w:p>
      <w:pPr>
        <w:pStyle w:val="Normal"/>
      </w:pPr>
      <w:r>
        <w:t>Purpose: Fetch post-provisioning cloud config data</w:t>
      </w:r>
    </w:p>
    <w:p>
      <w:pPr>
        <w:pStyle w:val="Normal"/>
      </w:pPr>
      <w:r>
        <w:t>Request:</w:t>
      </w:r>
    </w:p>
    <w:p>
      <w:pPr>
        <w:pStyle w:val="IntenseQuote"/>
      </w:pPr>
    </w:p>
    <w:p>
      <w:pPr>
        <w:pStyle w:val="Normal"/>
      </w:pPr>
      <w:r>
        <w:t>Response:</w:t>
      </w:r>
    </w:p>
    <w:p>
      <w:pPr>
        <w:pStyle w:val="IntenseQuote"/>
      </w:pPr>
      <w:r>
        <w:t>{</w:t>
        <w:br/>
        <w:t xml:space="preserve">  "note": [{ "text": "Use VLAN 202 and peer ASN 65001 for AWS config." }]</w:t>
        <w:br/>
        <w:t>}</w:t>
      </w:r>
    </w:p>
    <w:p>
      <w:pPr>
        <w:pStyle w:val="Heading1"/>
      </w:pPr>
      <w:r>
        <w:t>MCR Deployment</w:t>
      </w:r>
    </w:p>
    <w:p>
      <w:pPr>
        <w:pStyle w:val="Normal"/>
      </w:pPr>
      <w:r>
        <w:t>Deploy a Megaport Cloud Router (MCR) with a defined throughput tier and optional term-based pricing.</w:t>
      </w:r>
    </w:p>
    <w:p>
      <w:pPr>
        <w:pStyle w:val="Heading2"/>
      </w:pPr>
      <w:r>
        <w:t>GET /productCatalogManagement/productOffering</w:t>
      </w:r>
    </w:p>
    <w:p>
      <w:pPr>
        <w:pStyle w:val="IntenseQuote"/>
      </w:pPr>
      <w:r>
        <w:t>TMF API Standard: TMF620 - Product Catalog Management</w:t>
      </w:r>
    </w:p>
    <w:p>
      <w:pPr>
        <w:pStyle w:val="Normal"/>
      </w:pPr>
      <w:r>
        <w:t>Purpose: List available MCR bandwidth options</w:t>
      </w:r>
    </w:p>
    <w:p>
      <w:pPr>
        <w:pStyle w:val="Normal"/>
      </w:pPr>
      <w:r>
        <w:t>Request:</w:t>
      </w:r>
    </w:p>
    <w:p>
      <w:pPr>
        <w:pStyle w:val="IntenseQuote"/>
      </w:pPr>
      <w:r>
        <w:t>{}</w:t>
      </w:r>
    </w:p>
    <w:p>
      <w:pPr>
        <w:pStyle w:val="Normal"/>
      </w:pPr>
      <w:r>
        <w:t>Response:</w:t>
      </w:r>
    </w:p>
    <w:p>
      <w:pPr>
        <w:pStyle w:val="IntenseQuote"/>
      </w:pPr>
      <w:r>
        <w:t>{</w:t>
        <w:br/>
        <w:t xml:space="preserve">  "productOffering": [</w:t>
        <w:br/>
        <w:t xml:space="preserve">    { "id": "mcr-10g", "name": "MCR - 10 Gbps" },</w:t>
        <w:br/>
        <w:t xml:space="preserve">    { "id": "mcr-1g", "name": "MCR - 1 Gbps" }</w:t>
        <w:br/>
        <w:t xml:space="preserve">  ]</w:t>
        <w:br/>
        <w:t>}</w:t>
      </w:r>
    </w:p>
    <w:p>
      <w:pPr>
        <w:pStyle w:val="Heading2"/>
      </w:pPr>
      <w:r>
        <w:t>POST /productOrdering/productOrder</w:t>
      </w:r>
    </w:p>
    <w:p>
      <w:pPr>
        <w:pStyle w:val="IntenseQuote"/>
      </w:pPr>
      <w:r>
        <w:t>TMF API Standard: TMF622 - Product Ordering Management</w:t>
      </w:r>
    </w:p>
    <w:p>
      <w:pPr>
        <w:pStyle w:val="Normal"/>
      </w:pPr>
      <w:r>
        <w:t>Purpose: Order MCR with 12-month contract</w:t>
      </w:r>
    </w:p>
    <w:p>
      <w:pPr>
        <w:pStyle w:val="Normal"/>
      </w:pPr>
      <w:r>
        <w:t>Request:</w:t>
      </w:r>
    </w:p>
    <w:p>
      <w:pPr>
        <w:pStyle w:val="IntenseQuote"/>
      </w:pPr>
      <w:r>
        <w:t>{</w:t>
        <w:br/>
        <w:t xml:space="preserve">  "product": [{</w:t>
        <w:br/>
        <w:t xml:space="preserve">    "productOffering": { "id": "mcr-10g" },</w:t>
        <w:br/>
        <w:t xml:space="preserve">    "action": "add",</w:t>
        <w:br/>
        <w:t xml:space="preserve">    "contract": { "duration": "12", "unit": "month" }</w:t>
        <w:br/>
        <w:t xml:space="preserve">  }]</w:t>
        <w:br/>
        <w:t>}</w:t>
      </w:r>
    </w:p>
    <w:p>
      <w:pPr>
        <w:pStyle w:val="Normal"/>
      </w:pPr>
      <w:r>
        <w:t>Response:</w:t>
      </w:r>
    </w:p>
    <w:p>
      <w:pPr>
        <w:pStyle w:val="IntenseQuote"/>
      </w:pPr>
      <w:r>
        <w:t>{ "id": "PO-40001", "state": "acknowledged" }</w:t>
      </w:r>
    </w:p>
    <w:p>
      <w:pPr>
        <w:pStyle w:val="Heading2"/>
      </w:pPr>
      <w:r>
        <w:t>POST /serviceOrdering/serviceOrder</w:t>
      </w:r>
    </w:p>
    <w:p>
      <w:pPr>
        <w:pStyle w:val="IntenseQuote"/>
      </w:pPr>
      <w:r>
        <w:t>TMF API Standard: TMF641 - Service Ordering Management</w:t>
      </w:r>
    </w:p>
    <w:p>
      <w:pPr>
        <w:pStyle w:val="Normal"/>
      </w:pPr>
      <w:r>
        <w:t>Purpose: Attach VXCs to MCR after deployment</w:t>
      </w:r>
    </w:p>
    <w:p>
      <w:pPr>
        <w:pStyle w:val="Normal"/>
      </w:pPr>
      <w:r>
        <w:t>Request:</w:t>
      </w:r>
    </w:p>
    <w:p>
      <w:pPr>
        <w:pStyle w:val="IntenseQuote"/>
      </w:pPr>
      <w:r>
        <w:t>{</w:t>
        <w:br/>
        <w:t xml:space="preserve">  "serviceOrderItem": [{</w:t>
        <w:br/>
        <w:t xml:space="preserve">    "action": "modify",</w:t>
        <w:br/>
        <w:t xml:space="preserve">    "service": { "id": "MCR-001" },</w:t>
        <w:br/>
        <w:t xml:space="preserve">    "relatedService": [{ "id": "VXC-002", "relationshipType": "uses" }]</w:t>
        <w:br/>
        <w:t xml:space="preserve">  }]</w:t>
        <w:br/>
        <w:t>}</w:t>
      </w:r>
    </w:p>
    <w:p>
      <w:pPr>
        <w:pStyle w:val="Normal"/>
      </w:pPr>
      <w:r>
        <w:t>Response:</w:t>
      </w:r>
    </w:p>
    <w:p>
      <w:pPr>
        <w:pStyle w:val="IntenseQuote"/>
      </w:pPr>
      <w:r>
        <w:t>{ "id": "SO-9001", "state": "acknowledged" }</w:t>
      </w:r>
    </w:p>
    <w:p>
      <w:pPr>
        <w:pStyle w:val="Heading2"/>
      </w:pPr>
      <w:r>
        <w:t>PATCH /serviceInventory/service/MCR-001</w:t>
      </w:r>
    </w:p>
    <w:p>
      <w:pPr>
        <w:pStyle w:val="IntenseQuote"/>
      </w:pPr>
      <w:r>
        <w:t>TMF API Standard: TMF638 - Service Inventory Management</w:t>
      </w:r>
    </w:p>
    <w:p>
      <w:pPr>
        <w:pStyle w:val="Normal"/>
      </w:pPr>
      <w:r>
        <w:t>Purpose: Update BGP configuration on MCR</w:t>
      </w:r>
    </w:p>
    <w:p>
      <w:pPr>
        <w:pStyle w:val="Normal"/>
      </w:pPr>
      <w:r>
        <w:t>Request:</w:t>
      </w:r>
    </w:p>
    <w:p>
      <w:pPr>
        <w:pStyle w:val="IntenseQuote"/>
      </w:pPr>
      <w:r>
        <w:t>{</w:t>
        <w:br/>
        <w:t xml:space="preserve">  "characteristic": [{</w:t>
        <w:br/>
        <w:t xml:space="preserve">    "name": "BGP ASN", "value": "65050"</w:t>
        <w:br/>
        <w:t xml:space="preserve">  }]</w:t>
        <w:br/>
        <w:t>}</w:t>
      </w:r>
    </w:p>
    <w:p>
      <w:pPr>
        <w:pStyle w:val="Normal"/>
      </w:pPr>
      <w:r>
        <w:t>Response:</w:t>
      </w:r>
    </w:p>
    <w:p>
      <w:pPr>
        <w:pStyle w:val="IntenseQuote"/>
      </w:pPr>
      <w:r>
        <w:t>{ "id": "MCR-001", "state": "active"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