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color w:val="2F5496"/>
          <w:sz w:val="80"/>
          <w:szCs w:val="80"/>
        </w:rPr>
      </w:pPr>
    </w:p>
    <w:p>
      <w:pPr>
        <w:pStyle w:val="4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27626"/>
      <w:bookmarkStart w:id="1" w:name="_Toc534156607"/>
      <w:bookmarkStart w:id="2" w:name="_Toc611550505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  <w:bookmarkEnd w:id="2"/>
    </w:p>
    <w:p>
      <w:pPr>
        <w:pStyle w:val="11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测试报告</w:t>
      </w:r>
    </w:p>
    <w:p>
      <w:pPr>
        <w:pStyle w:val="11"/>
        <w:rPr>
          <w:sz w:val="48"/>
          <w:szCs w:val="48"/>
        </w:rPr>
      </w:pPr>
    </w:p>
    <w:p>
      <w:pPr>
        <w:pStyle w:val="11"/>
        <w:rPr>
          <w:sz w:val="48"/>
          <w:szCs w:val="48"/>
        </w:rPr>
      </w:pPr>
    </w:p>
    <w:p>
      <w:pPr>
        <w:pStyle w:val="11"/>
        <w:spacing w:line="480" w:lineRule="auto"/>
        <w:rPr>
          <w:sz w:val="36"/>
          <w:szCs w:val="36"/>
        </w:rPr>
      </w:pP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</w:p>
    <w:p>
      <w:pPr>
        <w:pStyle w:val="11"/>
        <w:spacing w:line="480" w:lineRule="auto"/>
        <w:jc w:val="both"/>
      </w:pPr>
    </w:p>
    <w:p>
      <w:pPr>
        <w:pStyle w:val="2"/>
        <w:rPr>
          <w:rFonts w:ascii="微软雅黑" w:hAnsi="微软雅黑" w:eastAsia="微软雅黑" w:cs="微软雅黑"/>
          <w:b/>
          <w:bCs/>
          <w:kern w:val="44"/>
          <w:sz w:val="44"/>
          <w:szCs w:val="44"/>
        </w:rPr>
      </w:pPr>
      <w:bookmarkStart w:id="3" w:name="_Toc472602993"/>
      <w:bookmarkStart w:id="4" w:name="_Toc20781"/>
      <w:r>
        <w:rPr>
          <w:rFonts w:hint="eastAsia"/>
        </w:rPr>
        <w:t>目录</w:t>
      </w:r>
      <w:bookmarkEnd w:id="3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5"/>
        <w:tabs>
          <w:tab w:val="right" w:leader="dot" w:pos="8300"/>
        </w:tabs>
      </w:pPr>
      <w:r>
        <w:fldChar w:fldCharType="begin"/>
      </w:r>
      <w:r>
        <w:instrText xml:space="preserve"> HYPERLINK \l _Toc611550505 </w:instrText>
      </w:r>
      <w:r>
        <w:fldChar w:fldCharType="separate"/>
      </w:r>
      <w:r>
        <w:rPr>
          <w:rFonts w:ascii="Helvetica" w:hAnsi="Helvetica"/>
          <w:szCs w:val="80"/>
        </w:rPr>
        <w:t>AITA</w:t>
      </w:r>
      <w:r>
        <w:tab/>
      </w:r>
      <w:r>
        <w:fldChar w:fldCharType="begin"/>
      </w:r>
      <w:r>
        <w:instrText xml:space="preserve"> PAGEREF _Toc611550505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</w:pPr>
      <w:r>
        <w:fldChar w:fldCharType="begin"/>
      </w:r>
      <w:r>
        <w:instrText xml:space="preserve"> HYPERLINK \l _Toc472602993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_Toc472602993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</w:pPr>
      <w:r>
        <w:fldChar w:fldCharType="begin"/>
      </w:r>
      <w:r>
        <w:instrText xml:space="preserve"> HYPERLINK \l _Toc1643976745 </w:instrText>
      </w:r>
      <w:r>
        <w:fldChar w:fldCharType="separate"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_Toc1643976745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_Toc792550913 </w:instrText>
      </w:r>
      <w:r>
        <w:fldChar w:fldCharType="separate"/>
      </w:r>
      <w:r>
        <w:t>背景与依据</w:t>
      </w:r>
      <w:r>
        <w:tab/>
      </w:r>
      <w:r>
        <w:fldChar w:fldCharType="begin"/>
      </w:r>
      <w:r>
        <w:instrText xml:space="preserve"> PAGEREF _Toc792550913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_Toc1709616097 </w:instrText>
      </w:r>
      <w:r>
        <w:fldChar w:fldCharType="separate"/>
      </w:r>
      <w:r>
        <w:t>测试模块</w:t>
      </w:r>
      <w:r>
        <w:tab/>
      </w:r>
      <w:r>
        <w:fldChar w:fldCharType="begin"/>
      </w:r>
      <w:r>
        <w:instrText xml:space="preserve"> PAGEREF _Toc1709616097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0"/>
        </w:tabs>
      </w:pPr>
      <w:r>
        <w:fldChar w:fldCharType="begin"/>
      </w:r>
      <w:r>
        <w:instrText xml:space="preserve"> HYPERLINK \l _Toc186545419 </w:instrText>
      </w:r>
      <w:r>
        <w:fldChar w:fldCharType="separate"/>
      </w:r>
      <w:r>
        <w:t>测试代码结构</w:t>
      </w:r>
      <w:r>
        <w:tab/>
      </w:r>
      <w:r>
        <w:fldChar w:fldCharType="begin"/>
      </w:r>
      <w:r>
        <w:instrText xml:space="preserve"> PAGEREF _Toc186545419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0"/>
        </w:tabs>
      </w:pPr>
      <w:r>
        <w:fldChar w:fldCharType="begin"/>
      </w:r>
      <w:r>
        <w:instrText xml:space="preserve"> HYPERLINK \l _Toc2090216160 </w:instrText>
      </w:r>
      <w:r>
        <w:fldChar w:fldCharType="separate"/>
      </w:r>
      <w:r>
        <w:rPr>
          <w:rFonts w:hint="eastAsia"/>
        </w:rPr>
        <w:t>测试</w:t>
      </w:r>
      <w:r>
        <w:rPr>
          <w:rFonts w:hint="default"/>
        </w:rPr>
        <w:t>结果</w:t>
      </w:r>
      <w:r>
        <w:tab/>
      </w:r>
      <w:r>
        <w:fldChar w:fldCharType="begin"/>
      </w:r>
      <w:r>
        <w:instrText xml:space="preserve"> PAGEREF _Toc2090216160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2"/>
      </w:pPr>
    </w:p>
    <w:p/>
    <w:p/>
    <w:p/>
    <w:p/>
    <w:p>
      <w:pPr>
        <w:rPr>
          <w:rFonts w:hint="eastAsia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</w:rPr>
      </w:pPr>
      <w:bookmarkStart w:id="5" w:name="_Toc1643976745"/>
      <w:r>
        <w:rPr>
          <w:rFonts w:hint="eastAsia"/>
        </w:rPr>
        <w:t>引言</w:t>
      </w:r>
      <w:bookmarkEnd w:id="5"/>
    </w:p>
    <w:bookmarkEnd w:id="4"/>
    <w:p>
      <w:pPr>
        <w:pStyle w:val="3"/>
        <w:rPr>
          <w:sz w:val="16"/>
          <w:szCs w:val="16"/>
        </w:rPr>
      </w:pPr>
      <w:bookmarkStart w:id="6" w:name="_Toc792550913"/>
      <w:r>
        <w:t>背景与依据</w:t>
      </w:r>
      <w:bookmarkEnd w:id="6"/>
    </w:p>
    <w:p>
      <w:pPr>
        <w:pStyle w:val="11"/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AITA 系统设计说明书</w:t>
      </w:r>
    </w:p>
    <w:p>
      <w:pPr>
        <w:pStyle w:val="11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AITA需求分析文档</w:t>
      </w:r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AITA 项目方案书</w:t>
      </w:r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AITA 测试计划书 （</w:t>
      </w:r>
      <w:r>
        <w:rPr>
          <w:rFonts w:hint="default"/>
          <w:b/>
          <w:bCs/>
          <w:sz w:val="24"/>
          <w:szCs w:val="24"/>
        </w:rPr>
        <w:t>在阅读本文当前，请务必阅读测试计划书</w:t>
      </w:r>
      <w:r>
        <w:rPr>
          <w:rFonts w:hint="default"/>
          <w:sz w:val="24"/>
          <w:szCs w:val="24"/>
        </w:rPr>
        <w:t>）</w:t>
      </w:r>
    </w:p>
    <w:p>
      <w:pPr>
        <w:pStyle w:val="3"/>
      </w:pPr>
      <w:bookmarkStart w:id="7" w:name="_Toc1709616097"/>
      <w:r>
        <w:t>测试模块</w:t>
      </w:r>
      <w:bookmarkEnd w:id="7"/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本项目共对三个模块进行了测试，进行测试的三个模块分别为：</w:t>
      </w:r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</w:t>
      </w:r>
      <w:r>
        <w:rPr>
          <w:rFonts w:hint="default"/>
          <w:sz w:val="24"/>
          <w:szCs w:val="24"/>
        </w:rPr>
        <w:t>用户认证模块</w:t>
      </w:r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</w:t>
      </w:r>
      <w:r>
        <w:rPr>
          <w:rFonts w:hint="default"/>
          <w:sz w:val="24"/>
          <w:szCs w:val="24"/>
        </w:rPr>
        <w:t>专注度模块</w:t>
      </w:r>
    </w:p>
    <w:p>
      <w:pPr>
        <w:pStyle w:val="11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</w:t>
      </w:r>
      <w:r>
        <w:rPr>
          <w:rFonts w:hint="default"/>
          <w:sz w:val="24"/>
          <w:szCs w:val="24"/>
        </w:rPr>
        <w:t>用户信息模块</w:t>
      </w:r>
    </w:p>
    <w:p>
      <w:pPr>
        <w:pStyle w:val="3"/>
      </w:pPr>
      <w:bookmarkStart w:id="8" w:name="_Toc186545419"/>
      <w:r>
        <w:t>测试代码结构</w:t>
      </w:r>
      <w:bookmarkEnd w:id="8"/>
      <w:bookmarkStart w:id="10" w:name="_GoBack"/>
      <w:bookmarkEnd w:id="10"/>
    </w:p>
    <w:p>
      <w:pPr>
        <w:pStyle w:val="11"/>
        <w:numPr>
          <w:ilvl w:val="0"/>
          <w:numId w:val="0"/>
        </w:numPr>
        <w:ind w:firstLine="500" w:firstLineChars="0"/>
        <w:jc w:val="left"/>
      </w:pPr>
      <w:r>
        <w:t>本项目的全部测试代码全部在项目根目录AITA目录下的tests文件夹中：</w:t>
      </w:r>
    </w:p>
    <w:p>
      <w:pPr>
        <w:pStyle w:val="11"/>
        <w:numPr>
          <w:ilvl w:val="0"/>
          <w:numId w:val="1"/>
        </w:numPr>
        <w:ind w:firstLine="500" w:firstLineChars="0"/>
        <w:jc w:val="left"/>
      </w:pPr>
      <w:r>
        <w:t>config.py</w:t>
      </w:r>
      <w:r>
        <w:tab/>
      </w:r>
      <w:r>
        <w:tab/>
      </w:r>
      <w:r>
        <w:tab/>
      </w:r>
      <w:r>
        <w:t>对测试环境的环境变量进行设置</w:t>
      </w:r>
    </w:p>
    <w:p>
      <w:pPr>
        <w:pStyle w:val="11"/>
        <w:numPr>
          <w:ilvl w:val="0"/>
          <w:numId w:val="1"/>
        </w:numPr>
        <w:ind w:firstLine="500" w:firstLineChars="0"/>
        <w:jc w:val="left"/>
      </w:pPr>
      <w:r>
        <w:t>test_auth.py</w:t>
      </w:r>
      <w:r>
        <w:tab/>
      </w:r>
      <w:r>
        <w:tab/>
      </w:r>
      <w:r>
        <w:t>对用户认证模块进行测试</w:t>
      </w:r>
    </w:p>
    <w:p>
      <w:pPr>
        <w:pStyle w:val="11"/>
        <w:numPr>
          <w:ilvl w:val="0"/>
          <w:numId w:val="1"/>
        </w:numPr>
        <w:ind w:firstLine="500" w:firstLineChars="0"/>
        <w:jc w:val="left"/>
      </w:pPr>
      <w:r>
        <w:t>test_usr.py</w:t>
      </w:r>
      <w:r>
        <w:tab/>
      </w:r>
      <w:r>
        <w:tab/>
      </w:r>
      <w:r>
        <w:tab/>
      </w:r>
      <w:r>
        <w:t>对用户信息模块进行测试</w:t>
      </w:r>
    </w:p>
    <w:p>
      <w:pPr>
        <w:pStyle w:val="11"/>
        <w:numPr>
          <w:ilvl w:val="0"/>
          <w:numId w:val="1"/>
        </w:numPr>
        <w:ind w:firstLine="500" w:firstLineChars="0"/>
        <w:jc w:val="left"/>
      </w:pPr>
      <w:r>
        <w:t>test_focus.py</w:t>
      </w:r>
      <w:r>
        <w:tab/>
      </w:r>
      <w:r>
        <w:tab/>
      </w:r>
      <w:r>
        <w:t>对专注度模块进行测试</w:t>
      </w:r>
    </w:p>
    <w:p>
      <w:pPr>
        <w:pStyle w:val="2"/>
        <w:rPr>
          <w:rFonts w:hint="eastAsia"/>
        </w:rPr>
      </w:pPr>
      <w:bookmarkStart w:id="9" w:name="_Toc2090216160"/>
      <w:r>
        <w:rPr>
          <w:rFonts w:hint="eastAsia"/>
        </w:rPr>
        <w:t>测试</w:t>
      </w:r>
      <w:r>
        <w:rPr>
          <w:rFonts w:hint="default"/>
        </w:rPr>
        <w:t>结果</w:t>
      </w:r>
      <w:bookmarkEnd w:id="9"/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测试程序运行结果</w:t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52720" cy="2640965"/>
            <wp:effectExtent l="0" t="0" r="5080" b="635"/>
            <wp:docPr id="3" name="Picture 3" descr="pytes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test-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测试模块覆盖度</w:t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69230" cy="956945"/>
            <wp:effectExtent l="0" t="0" r="13970" b="8255"/>
            <wp:docPr id="1" name="Picture 1" descr="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er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全部模块覆盖度</w:t>
      </w:r>
    </w:p>
    <w:p>
      <w:pPr>
        <w:pStyle w:val="11"/>
        <w:jc w:val="left"/>
      </w:pPr>
      <w:r>
        <w:drawing>
          <wp:inline distT="0" distB="0" distL="114300" distR="114300">
            <wp:extent cx="5267960" cy="1649730"/>
            <wp:effectExtent l="0" t="0" r="15240" b="1270"/>
            <wp:docPr id="2" name="Picture 2" descr="coverage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verage-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HYQiHei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BA6A"/>
    <w:multiLevelType w:val="singleLevel"/>
    <w:tmpl w:val="5CF7BA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37FA1C3"/>
    <w:rsid w:val="4FFA31B0"/>
    <w:rsid w:val="65DEF5C1"/>
    <w:rsid w:val="6C4E44A3"/>
    <w:rsid w:val="72FF5936"/>
    <w:rsid w:val="731FF3A2"/>
    <w:rsid w:val="7BF68A9C"/>
    <w:rsid w:val="7EFD6D11"/>
    <w:rsid w:val="7FB99EF7"/>
    <w:rsid w:val="9EF713B4"/>
    <w:rsid w:val="AF6F12D6"/>
    <w:rsid w:val="D385EDCE"/>
    <w:rsid w:val="FF7B4D05"/>
    <w:rsid w:val="FF9B4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5">
    <w:name w:val="toc 1"/>
    <w:basedOn w:val="1"/>
    <w:next w:val="1"/>
    <w:qFormat/>
    <w:uiPriority w:val="0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6">
    <w:name w:val="toc 2"/>
    <w:basedOn w:val="1"/>
    <w:next w:val="1"/>
    <w:qFormat/>
    <w:uiPriority w:val="0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7">
    <w:name w:val="toc 3"/>
    <w:basedOn w:val="1"/>
    <w:next w:val="1"/>
    <w:qFormat/>
    <w:uiPriority w:val="0"/>
    <w:pPr>
      <w:ind w:left="400"/>
      <w:jc w:val="left"/>
    </w:pPr>
    <w:rPr>
      <w:rFonts w:asciiTheme="minorHAnsi" w:eastAsiaTheme="minorHAnsi"/>
    </w:rPr>
  </w:style>
  <w:style w:type="character" w:styleId="9">
    <w:name w:val="Hyperlink"/>
    <w:basedOn w:val="8"/>
    <w:qFormat/>
    <w:uiPriority w:val="0"/>
    <w:rPr>
      <w:color w:val="0000FF" w:themeColor="hyperlink"/>
      <w:u w:val="single"/>
    </w:rPr>
  </w:style>
  <w:style w:type="paragraph" w:customStyle="1" w:styleId="11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12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13">
    <w:name w:val="石墨文档大标题"/>
    <w:next w:val="11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14">
    <w:name w:val="石墨文档中标题"/>
    <w:next w:val="11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15">
    <w:name w:val="石墨文档小标题"/>
    <w:next w:val="11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6">
    <w:name w:val="石墨文档标题"/>
    <w:next w:val="11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7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338</Words>
  <Characters>611</Characters>
  <ScaleCrop>false</ScaleCrop>
  <LinksUpToDate>false</LinksUpToDate>
  <CharactersWithSpaces>708</CharactersWithSpaces>
  <Application>WPS Office_1.1.0.1454_F1E327BC-269C-435d-A152-05C5408002CA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2019-06-06T15:34:00Z</dcterms:created>
  <dc:creator> </dc:creator>
  <cp:lastModifiedBy>ludanxer</cp:lastModifiedBy>
  <dcterms:modified xsi:type="dcterms:W3CDTF">2019-06-05T20:09:11Z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