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95959"/>
          <w:sz w:val="30"/>
          <w:szCs w:val="30"/>
        </w:rPr>
        <w:t xml:space="preserve">RESEARCH PROPOSAL</w:t>
      </w:r>
    </w:p>
    <w:p>
      <w:pPr>
        <w:spacing w:after="400" w:before="200"/>
        <w:jc w:val="center"/>
      </w:pPr>
      <w:r>
        <w:rPr>
          <w:b/>
          <w:bCs/>
          <w:color w:val="1F4E79"/>
          <w:sz w:val="40"/>
          <w:szCs w:val="40"/>
        </w:rPr>
        <w:t xml:space="preserve">Predicting Customer Churn in the Telecommunications Industry Using Python-Based Data Science Techniques</w:t>
      </w:r>
    </w:p>
    <w:p>
      <w:pPr>
        <w:spacing w:after="3200"/>
        <w:jc w:val="center"/>
      </w:pPr>
      <w:r>
        <w:rPr>
          <w:i/>
          <w:iCs/>
          <w:color w:val="595959"/>
          <w:sz w:val="24"/>
          <w:szCs w:val="24"/>
        </w:rPr>
        <w:t xml:space="preserve">A Data Science Internship Project – Week 1 Deliverable</w:t>
      </w:r>
    </w:p>
    <w:p>
      <w:pPr>
        <w:spacing w:after="80"/>
        <w:jc w:val="center"/>
      </w:pPr>
      <w:r>
        <w:rPr>
          <w:color w:val="595959"/>
          <w:sz w:val="22"/>
          <w:szCs w:val="22"/>
        </w:rPr>
        <w:t xml:space="preserve">Prepared as part of the Data Science Internship Program</w:t>
      </w:r>
    </w:p>
    <w:p>
      <w:pPr>
        <w:spacing w:after="80"/>
        <w:jc w:val="center"/>
      </w:pPr>
      <w:r>
        <w:rPr>
          <w:color w:val="595959"/>
          <w:sz w:val="22"/>
          <w:szCs w:val="22"/>
        </w:rPr>
        <w:t xml:space="preserve">Domain: Data Science / Machine Learning (Python)</w:t>
      </w:r>
    </w:p>
    <w:p>
      <w:pPr>
        <w:jc w:val="center"/>
      </w:pPr>
      <w:r>
        <w:rPr>
          <w:color w:val="595959"/>
          <w:sz w:val="22"/>
          <w:szCs w:val="22"/>
        </w:rPr>
        <w:t xml:space="preserve">Date: September 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p>
      <w:pPr>
        <w:pStyle w:val="ListParagraph"/>
        <w:numPr>
          <w:ilvl w:val="0"/>
          <w:numId w:val="2"/>
        </w:numPr>
        <w:spacing w:after="100" w:line="276"/>
      </w:pPr>
      <w:r>
        <w:t xml:space="preserve">1. Introduction and Problem Statement</w:t>
      </w:r>
    </w:p>
    <w:p>
      <w:pPr>
        <w:pStyle w:val="ListParagraph"/>
        <w:numPr>
          <w:ilvl w:val="0"/>
          <w:numId w:val="2"/>
        </w:numPr>
        <w:spacing w:after="100" w:line="276"/>
      </w:pPr>
      <w:r>
        <w:t xml:space="preserve">2. Research Objectives and Scope</w:t>
      </w:r>
    </w:p>
    <w:p>
      <w:pPr>
        <w:pStyle w:val="ListParagraph"/>
        <w:numPr>
          <w:ilvl w:val="0"/>
          <w:numId w:val="2"/>
        </w:numPr>
        <w:spacing w:after="100" w:line="276"/>
      </w:pPr>
      <w:r>
        <w:t xml:space="preserve">3. Proposed Methodology</w:t>
      </w:r>
    </w:p>
    <w:p>
      <w:pPr>
        <w:pStyle w:val="ListParagraph"/>
        <w:numPr>
          <w:ilvl w:val="0"/>
          <w:numId w:val="2"/>
        </w:numPr>
        <w:spacing w:after="100" w:line="276"/>
      </w:pPr>
      <w:r>
        <w:t xml:space="preserve">4. Resource Allocation Plan</w:t>
      </w:r>
    </w:p>
    <w:p>
      <w:pPr>
        <w:pStyle w:val="ListParagraph"/>
        <w:numPr>
          <w:ilvl w:val="0"/>
          <w:numId w:val="2"/>
        </w:numPr>
        <w:spacing w:after="100" w:line="276"/>
      </w:pPr>
      <w:r>
        <w:t xml:space="preserve">5. Timeline and Milestones</w:t>
      </w:r>
    </w:p>
    <w:p>
      <w:pPr>
        <w:pStyle w:val="ListParagraph"/>
        <w:numPr>
          <w:ilvl w:val="0"/>
          <w:numId w:val="2"/>
        </w:numPr>
        <w:spacing w:after="100" w:line="276"/>
      </w:pPr>
      <w:r>
        <w:t xml:space="preserve">6. Potential Risks and Mitigation Strategies</w:t>
      </w:r>
    </w:p>
    <w:p>
      <w:pPr>
        <w:pStyle w:val="ListParagraph"/>
        <w:numPr>
          <w:ilvl w:val="0"/>
          <w:numId w:val="2"/>
        </w:numPr>
        <w:spacing w:after="100" w:line="276"/>
      </w:pPr>
      <w:r>
        <w:t xml:space="preserve">7. Expected Outcomes</w:t>
      </w:r>
    </w:p>
    <w:p>
      <w:pPr>
        <w:pStyle w:val="ListParagraph"/>
        <w:numPr>
          <w:ilvl w:val="0"/>
          <w:numId w:val="2"/>
        </w:numPr>
        <w:spacing w:after="100" w:line="276"/>
      </w:pPr>
      <w:r>
        <w:t xml:space="preserve">8. Conclusion</w:t>
      </w:r>
    </w:p>
    <w:p>
      <w:pPr>
        <w:pStyle w:val="ListParagraph"/>
        <w:numPr>
          <w:ilvl w:val="0"/>
          <w:numId w:val="2"/>
        </w:numPr>
        <w:spacing w:after="100" w:line="276"/>
      </w:pPr>
      <w:r>
        <w:t xml:space="preserve">References</w:t>
      </w:r>
    </w:p>
    <w:p>
      <w:r>
        <w:br w:type="page"/>
      </w:r>
    </w:p>
    <w:p>
      <w:pPr>
        <w:pStyle w:val="Heading1"/>
        <w:spacing w:after="200" w:before="360"/>
      </w:pPr>
      <w:r>
        <w:t xml:space="preserve">1. Introduction and Problem Statement</w:t>
      </w:r>
    </w:p>
    <w:p>
      <w:pPr>
        <w:spacing w:after="160" w:line="276"/>
        <w:jc w:val="both"/>
      </w:pPr>
      <w:r>
        <w:t xml:space="preserve">Customer attrition, commonly known as churn, is one of the most pressing challenges faced by subscription-based and service-oriented businesses today. In the telecommunications sector specifically, providers operate in highly saturated markets where switching costs for consumers are low and competitor offers are abundant. As a result, even a small, unaddressed increase in the monthly churn rate can translate into significant revenue loss over time.</w:t>
      </w:r>
    </w:p>
    <w:p>
      <w:pPr>
        <w:spacing w:after="160" w:line="276"/>
        <w:jc w:val="both"/>
      </w:pPr>
      <w:r>
        <w:t xml:space="preserve">This research proposal outlines a data science project that uses Python-based tools and machine learning techniques to build a predictive model capable of identifying customers who are at high risk of discontinuing their telecom service. The project will use historical customer data – including demographics, account information, service usage patterns, billing history, and support interactions – to uncover the behavioral and contractual signals that precede churn.</w:t>
      </w:r>
    </w:p>
    <w:p>
      <w:pPr>
        <w:spacing w:after="160" w:line="276"/>
        <w:jc w:val="both"/>
      </w:pPr>
      <w:r>
        <w:t xml:space="preserve">Rather than reacting to churn after it happens, this project aims to give the business a forward-looking, data-driven early-warning system so that retention efforts can be targeted, timely, and cost-effective.</w:t>
      </w:r>
    </w:p>
    <w:p>
      <w:pPr>
        <w:pStyle w:val="Heading2"/>
        <w:spacing w:after="120" w:before="240"/>
      </w:pPr>
      <w:r>
        <w:t xml:space="preserve">1.1 Why This Problem Is Significant</w:t>
      </w:r>
    </w:p>
    <w:p>
      <w:pPr>
        <w:pStyle w:val="ListParagraph"/>
        <w:numPr>
          <w:ilvl w:val="0"/>
          <w:numId w:val="2"/>
        </w:numPr>
        <w:spacing w:after="100" w:line="276"/>
      </w:pPr>
      <w:r>
        <w:t xml:space="preserve">Acquiring a new customer typically costs five to seven times more than retaining an existing one, making churn reduction a high-leverage lever for profitability.</w:t>
      </w:r>
    </w:p>
    <w:p>
      <w:pPr>
        <w:pStyle w:val="ListParagraph"/>
        <w:numPr>
          <w:ilvl w:val="0"/>
          <w:numId w:val="2"/>
        </w:numPr>
        <w:spacing w:after="100" w:line="276"/>
      </w:pPr>
      <w:r>
        <w:t xml:space="preserve">Even a 5% improvement in customer retention can increase overall company profit by 25–95%, according to widely cited industry benchmarks (Reichheld &amp; Sasser).</w:t>
      </w:r>
    </w:p>
    <w:p>
      <w:pPr>
        <w:pStyle w:val="ListParagraph"/>
        <w:numPr>
          <w:ilvl w:val="0"/>
          <w:numId w:val="2"/>
        </w:numPr>
        <w:spacing w:after="100" w:line="276"/>
      </w:pPr>
      <w:r>
        <w:t xml:space="preserve">Telecom churn is a well-documented, data-rich problem with publicly available datasets, making it an ideal candidate for a rigorous, reproducible Python-based analysis.</w:t>
      </w:r>
    </w:p>
    <w:p>
      <w:pPr>
        <w:pStyle w:val="ListParagraph"/>
        <w:numPr>
          <w:ilvl w:val="0"/>
          <w:numId w:val="2"/>
        </w:numPr>
        <w:spacing w:after="100" w:line="276"/>
      </w:pPr>
      <w:r>
        <w:t xml:space="preserve">The insights generated (which customer segments churn, and why) are directly actionable for marketing, pricing, and customer-success teams.</w:t>
      </w:r>
    </w:p>
    <w:p>
      <w:pPr>
        <w:pStyle w:val="ListParagraph"/>
        <w:numPr>
          <w:ilvl w:val="0"/>
          <w:numId w:val="2"/>
        </w:numPr>
        <w:spacing w:after="100" w:line="276"/>
      </w:pPr>
      <w:r>
        <w:t xml:space="preserve">The problem naturally exercises the full data science lifecycle – data cleaning, exploratory analysis, feature engineering, model building, and evaluation – making it an excellent foundation for the rest of the internship.</w:t>
      </w:r>
    </w:p>
    <w:p>
      <w:pPr>
        <w:pStyle w:val="Heading1"/>
        <w:spacing w:after="200" w:before="360"/>
      </w:pPr>
      <w:r>
        <w:t xml:space="preserve">2. Research Objectives and Scope</w:t>
      </w:r>
    </w:p>
    <w:p>
      <w:pPr>
        <w:pStyle w:val="Heading2"/>
        <w:spacing w:after="120" w:before="240"/>
      </w:pPr>
      <w:r>
        <w:t xml:space="preserve">2.1 Primary Objective</w:t>
      </w:r>
    </w:p>
    <w:p>
      <w:pPr>
        <w:spacing w:after="160" w:line="276"/>
        <w:jc w:val="both"/>
      </w:pPr>
      <w:r>
        <w:t xml:space="preserve">To design, build, and evaluate a machine learning pipeline in Python that predicts, with measurable accuracy, whether an individual telecom customer is likely to churn within the next billing cycle, and to translate the model's findings into actionable business recommendations.</w:t>
      </w:r>
    </w:p>
    <w:p>
      <w:pPr>
        <w:pStyle w:val="Heading2"/>
        <w:spacing w:after="120" w:before="240"/>
      </w:pPr>
      <w:r>
        <w:t xml:space="preserve">2.2 Specific Objectives</w:t>
      </w:r>
    </w:p>
    <w:p>
      <w:pPr>
        <w:pStyle w:val="ListParagraph"/>
        <w:numPr>
          <w:ilvl w:val="0"/>
          <w:numId w:val="2"/>
        </w:numPr>
        <w:spacing w:after="100" w:line="276"/>
      </w:pPr>
      <w:r>
        <w:t xml:space="preserve">Identify and consolidate a suitable dataset containing customer demographic, account, and usage information.</w:t>
      </w:r>
    </w:p>
    <w:p>
      <w:pPr>
        <w:pStyle w:val="ListParagraph"/>
        <w:numPr>
          <w:ilvl w:val="0"/>
          <w:numId w:val="2"/>
        </w:numPr>
        <w:spacing w:after="100" w:line="276"/>
      </w:pPr>
      <w:r>
        <w:t xml:space="preserve">Perform exploratory data analysis (EDA) to understand churn patterns, class balance, and correlations between features and the churn outcome.</w:t>
      </w:r>
    </w:p>
    <w:p>
      <w:pPr>
        <w:pStyle w:val="ListParagraph"/>
        <w:numPr>
          <w:ilvl w:val="0"/>
          <w:numId w:val="2"/>
        </w:numPr>
        <w:spacing w:after="100" w:line="276"/>
      </w:pPr>
      <w:r>
        <w:t xml:space="preserve">Engineer features that better represent customer behavior, such as tenure buckets, service-usage ratios, and contract-risk indicators.</w:t>
      </w:r>
    </w:p>
    <w:p>
      <w:pPr>
        <w:pStyle w:val="ListParagraph"/>
        <w:numPr>
          <w:ilvl w:val="0"/>
          <w:numId w:val="2"/>
        </w:numPr>
        <w:spacing w:after="100" w:line="276"/>
      </w:pPr>
      <w:r>
        <w:t xml:space="preserve">Train and compare multiple classification algorithms (e.g., Logistic Regression, Random Forest, Gradient Boosting) to identify the best-performing model.</w:t>
      </w:r>
    </w:p>
    <w:p>
      <w:pPr>
        <w:pStyle w:val="ListParagraph"/>
        <w:numPr>
          <w:ilvl w:val="0"/>
          <w:numId w:val="2"/>
        </w:numPr>
        <w:spacing w:after="100" w:line="276"/>
      </w:pPr>
      <w:r>
        <w:t xml:space="preserve">Evaluate models using appropriate metrics (accuracy, precision, recall, F1-score, ROC-AUC) with particular attention to recall on the minority (churn) class.</w:t>
      </w:r>
    </w:p>
    <w:p>
      <w:pPr>
        <w:pStyle w:val="ListParagraph"/>
        <w:numPr>
          <w:ilvl w:val="0"/>
          <w:numId w:val="2"/>
        </w:numPr>
        <w:spacing w:after="100" w:line="276"/>
      </w:pPr>
      <w:r>
        <w:t xml:space="preserve">Interpret model outputs using feature-importance and explainability techniques (e.g., SHAP values) to surface actionable churn drivers.</w:t>
      </w:r>
    </w:p>
    <w:p>
      <w:pPr>
        <w:pStyle w:val="ListParagraph"/>
        <w:numPr>
          <w:ilvl w:val="0"/>
          <w:numId w:val="2"/>
        </w:numPr>
        <w:spacing w:after="100" w:line="276"/>
      </w:pPr>
      <w:r>
        <w:t xml:space="preserve">Document a set of retention recommendations derived from the model's insights.</w:t>
      </w:r>
    </w:p>
    <w:p>
      <w:pPr>
        <w:pStyle w:val="Heading2"/>
        <w:spacing w:after="120" w:before="240"/>
      </w:pPr>
      <w:r>
        <w:t xml:space="preserve">2.3 Scope of the Project</w:t>
      </w:r>
    </w:p>
    <w:p>
      <w:pPr>
        <w:spacing w:after="160" w:line="276"/>
        <w:jc w:val="both"/>
      </w:pPr>
      <w:r>
        <w:t xml:space="preserve">The scope of this project is limited to a single telecom operator's customer base and focuses on structured, tabular data (no call-transcript or social-media text mining). The project covers the full pipeline from raw data to a validated predictive model and a set of business recommendations, but does not include production deployment, real-time scoring infrastructure, or integration with a live CRM system – these are identified as natural extensions for a future phase.</w:t>
      </w:r>
    </w:p>
    <w:p>
      <w:pPr>
        <w:pStyle w:val="Heading1"/>
        <w:spacing w:after="200" w:before="360"/>
      </w:pPr>
      <w:r>
        <w:t xml:space="preserve">3. Proposed Methodology</w:t>
      </w:r>
    </w:p>
    <w:p>
      <w:pPr>
        <w:pStyle w:val="Heading2"/>
        <w:spacing w:after="120" w:before="240"/>
      </w:pPr>
      <w:r>
        <w:t xml:space="preserve">3.1 Data Collection</w:t>
      </w:r>
    </w:p>
    <w:p>
      <w:pPr>
        <w:spacing w:after="160" w:line="276"/>
        <w:jc w:val="both"/>
      </w:pPr>
      <w:r>
        <w:t xml:space="preserve">The project will primarily use a publicly available, well-known dataset such as the IBM/Kaggle “Telco Customer Churn” dataset, which contains approximately 7,000 customer records with 20+ attributes including tenure, contract type, monthly charges, payment method, internet service type, and a binary churn label. Where feasible, this will be supplemented with:</w:t>
      </w:r>
    </w:p>
    <w:p>
      <w:pPr>
        <w:pStyle w:val="ListParagraph"/>
        <w:numPr>
          <w:ilvl w:val="0"/>
          <w:numId w:val="2"/>
        </w:numPr>
        <w:spacing w:after="100" w:line="276"/>
      </w:pPr>
      <w:r>
        <w:t xml:space="preserve">Publicly available telecom industry churn-benchmark reports for contextual validation.</w:t>
      </w:r>
    </w:p>
    <w:p>
      <w:pPr>
        <w:pStyle w:val="ListParagraph"/>
        <w:numPr>
          <w:ilvl w:val="0"/>
          <w:numId w:val="2"/>
        </w:numPr>
        <w:spacing w:after="100" w:line="276"/>
      </w:pPr>
      <w:r>
        <w:t xml:space="preserve">Synthetic augmentation (using controlled random sampling) to test model robustness on edge cases, if the primary dataset proves too small for certain sub-segments.</w:t>
      </w:r>
    </w:p>
    <w:p>
      <w:pPr>
        <w:spacing w:after="160" w:line="276"/>
        <w:jc w:val="both"/>
      </w:pPr>
      <w:r>
        <w:t xml:space="preserve">All data collection will comply with data-privacy best practices; no personally identifiable information (PII) will be used, and the dataset will be treated as fully anonymized.</w:t>
      </w:r>
    </w:p>
    <w:p>
      <w:pPr>
        <w:pStyle w:val="Heading2"/>
        <w:spacing w:after="120" w:before="240"/>
      </w:pPr>
      <w:r>
        <w:t xml:space="preserve">3.2 Data Preprocessing</w:t>
      </w:r>
    </w:p>
    <w:p>
      <w:pPr>
        <w:pStyle w:val="ListParagraph"/>
        <w:numPr>
          <w:ilvl w:val="0"/>
          <w:numId w:val="2"/>
        </w:numPr>
        <w:spacing w:after="100" w:line="276"/>
      </w:pPr>
      <w:r>
        <w:t xml:space="preserve">Data cleaning: handling missing values, correcting data types, and removing duplicate records.</w:t>
      </w:r>
    </w:p>
    <w:p>
      <w:pPr>
        <w:pStyle w:val="ListParagraph"/>
        <w:numPr>
          <w:ilvl w:val="0"/>
          <w:numId w:val="2"/>
        </w:numPr>
        <w:spacing w:after="100" w:line="276"/>
      </w:pPr>
      <w:r>
        <w:t xml:space="preserve">Encoding categorical variables using one-hot or ordinal encoding depending on the feature's nature.</w:t>
      </w:r>
    </w:p>
    <w:p>
      <w:pPr>
        <w:pStyle w:val="ListParagraph"/>
        <w:numPr>
          <w:ilvl w:val="0"/>
          <w:numId w:val="2"/>
        </w:numPr>
        <w:spacing w:after="100" w:line="276"/>
      </w:pPr>
      <w:r>
        <w:t xml:space="preserve">Feature scaling (StandardScaler / MinMaxScaler) for algorithms sensitive to feature magnitude.</w:t>
      </w:r>
    </w:p>
    <w:p>
      <w:pPr>
        <w:pStyle w:val="ListParagraph"/>
        <w:numPr>
          <w:ilvl w:val="0"/>
          <w:numId w:val="2"/>
        </w:numPr>
        <w:spacing w:after="100" w:line="276"/>
      </w:pPr>
      <w:r>
        <w:t xml:space="preserve">Handling class imbalance using techniques such as SMOTE (Synthetic Minority Over-sampling Technique) or class-weighting, since churn datasets are typically imbalanced (roughly 70/30 non-churn/churn).</w:t>
      </w:r>
    </w:p>
    <w:p>
      <w:pPr>
        <w:pStyle w:val="ListParagraph"/>
        <w:numPr>
          <w:ilvl w:val="0"/>
          <w:numId w:val="2"/>
        </w:numPr>
        <w:spacing w:after="100" w:line="276"/>
      </w:pPr>
      <w:r>
        <w:t xml:space="preserve">Train/validation/test split (e.g., 70/15/15) with stratification on the churn label to preserve class ratios.</w:t>
      </w:r>
    </w:p>
    <w:p>
      <w:pPr>
        <w:pStyle w:val="Heading2"/>
        <w:spacing w:after="120" w:before="240"/>
      </w:pPr>
      <w:r>
        <w:t xml:space="preserve">3.3 Analysis and Modeling Techniques</w:t>
      </w:r>
    </w:p>
    <w:p>
      <w:pPr>
        <w:pStyle w:val="ListParagraph"/>
        <w:numPr>
          <w:ilvl w:val="0"/>
          <w:numId w:val="2"/>
        </w:numPr>
        <w:spacing w:after="100" w:line="276"/>
      </w:pPr>
      <w:r>
        <w:t xml:space="preserve">Exploratory Data Analysis (EDA) using Pandas, Matplotlib, and Seaborn to visualize churn distribution across tenure, contract type, and monthly charges.</w:t>
      </w:r>
    </w:p>
    <w:p>
      <w:pPr>
        <w:pStyle w:val="ListParagraph"/>
        <w:numPr>
          <w:ilvl w:val="0"/>
          <w:numId w:val="2"/>
        </w:numPr>
        <w:spacing w:after="100" w:line="276"/>
      </w:pPr>
      <w:r>
        <w:t xml:space="preserve">Baseline model: Logistic Regression, to establish an interpretable performance benchmark.</w:t>
      </w:r>
    </w:p>
    <w:p>
      <w:pPr>
        <w:pStyle w:val="ListParagraph"/>
        <w:numPr>
          <w:ilvl w:val="0"/>
          <w:numId w:val="2"/>
        </w:numPr>
        <w:spacing w:after="100" w:line="276"/>
      </w:pPr>
      <w:r>
        <w:t xml:space="preserve">Ensemble models: Random Forest and Gradient Boosting (XGBoost / LightGBM) to capture non-linear interactions between features.</w:t>
      </w:r>
    </w:p>
    <w:p>
      <w:pPr>
        <w:pStyle w:val="ListParagraph"/>
        <w:numPr>
          <w:ilvl w:val="0"/>
          <w:numId w:val="2"/>
        </w:numPr>
        <w:spacing w:after="100" w:line="276"/>
      </w:pPr>
      <w:r>
        <w:t xml:space="preserve">Hyperparameter tuning via GridSearchCV or RandomizedSearchCV with k-fold cross-validation.</w:t>
      </w:r>
    </w:p>
    <w:p>
      <w:pPr>
        <w:pStyle w:val="ListParagraph"/>
        <w:numPr>
          <w:ilvl w:val="0"/>
          <w:numId w:val="2"/>
        </w:numPr>
        <w:spacing w:after="100" w:line="276"/>
      </w:pPr>
      <w:r>
        <w:t xml:space="preserve">Model evaluation using a confusion matrix, precision-recall curve, and ROC-AUC score, with emphasis on recall for the churn class since false negatives (missed churners) are costlier than false positives in this context.</w:t>
      </w:r>
    </w:p>
    <w:p>
      <w:pPr>
        <w:pStyle w:val="ListParagraph"/>
        <w:numPr>
          <w:ilvl w:val="0"/>
          <w:numId w:val="2"/>
        </w:numPr>
        <w:spacing w:after="100" w:line="276"/>
      </w:pPr>
      <w:r>
        <w:t xml:space="preserve">Model interpretability using SHAP or permutation feature importance to explain which factors most influence churn predictions.</w:t>
      </w:r>
    </w:p>
    <w:p>
      <w:pPr>
        <w:pStyle w:val="Heading2"/>
        <w:spacing w:after="120" w:before="240"/>
      </w:pPr>
      <w:r>
        <w:t xml:space="preserve">3.4 Tools and Technology Stack</w:t>
      </w:r>
    </w:p>
    <w:p>
      <w:pPr>
        <w:pStyle w:val="ListParagraph"/>
        <w:numPr>
          <w:ilvl w:val="0"/>
          <w:numId w:val="2"/>
        </w:numPr>
        <w:spacing w:after="100" w:line="276"/>
      </w:pPr>
      <w:r>
        <w:t xml:space="preserve">Language: Python 3.x</w:t>
      </w:r>
    </w:p>
    <w:p>
      <w:pPr>
        <w:pStyle w:val="ListParagraph"/>
        <w:numPr>
          <w:ilvl w:val="0"/>
          <w:numId w:val="2"/>
        </w:numPr>
        <w:spacing w:after="100" w:line="276"/>
      </w:pPr>
      <w:r>
        <w:t xml:space="preserve">Data handling: Pandas, NumPy</w:t>
      </w:r>
    </w:p>
    <w:p>
      <w:pPr>
        <w:pStyle w:val="ListParagraph"/>
        <w:numPr>
          <w:ilvl w:val="0"/>
          <w:numId w:val="2"/>
        </w:numPr>
        <w:spacing w:after="100" w:line="276"/>
      </w:pPr>
      <w:r>
        <w:t xml:space="preserve">Visualization: Matplotlib, Seaborn, Plotly (for interactive exploration)</w:t>
      </w:r>
    </w:p>
    <w:p>
      <w:pPr>
        <w:pStyle w:val="ListParagraph"/>
        <w:numPr>
          <w:ilvl w:val="0"/>
          <w:numId w:val="2"/>
        </w:numPr>
        <w:spacing w:after="100" w:line="276"/>
      </w:pPr>
      <w:r>
        <w:t xml:space="preserve">Modeling: Scikit-learn, XGBoost / LightGBM, imbalanced-learn (for SMOTE)</w:t>
      </w:r>
    </w:p>
    <w:p>
      <w:pPr>
        <w:pStyle w:val="ListParagraph"/>
        <w:numPr>
          <w:ilvl w:val="0"/>
          <w:numId w:val="2"/>
        </w:numPr>
        <w:spacing w:after="100" w:line="276"/>
      </w:pPr>
      <w:r>
        <w:t xml:space="preserve">Interpretability: SHAP</w:t>
      </w:r>
    </w:p>
    <w:p>
      <w:pPr>
        <w:pStyle w:val="ListParagraph"/>
        <w:numPr>
          <w:ilvl w:val="0"/>
          <w:numId w:val="2"/>
        </w:numPr>
        <w:spacing w:after="100" w:line="276"/>
      </w:pPr>
      <w:r>
        <w:t xml:space="preserve">Environment: Jupyter Notebook / Google Colab for iterative development</w:t>
      </w:r>
    </w:p>
    <w:p>
      <w:pPr>
        <w:pStyle w:val="ListParagraph"/>
        <w:numPr>
          <w:ilvl w:val="0"/>
          <w:numId w:val="2"/>
        </w:numPr>
        <w:spacing w:after="100" w:line="276"/>
      </w:pPr>
      <w:r>
        <w:t xml:space="preserve">Version control: Git and GitHub for reproducibility and collaboration</w:t>
      </w:r>
    </w:p>
    <w:p>
      <w:r>
        <w:br w:type="page"/>
      </w:r>
    </w:p>
    <w:p>
      <w:pPr>
        <w:pStyle w:val="Heading1"/>
        <w:spacing w:after="200" w:before="360"/>
      </w:pPr>
      <w:r>
        <w:t xml:space="preserve">4. Resource Allocation Plan</w:t>
      </w:r>
    </w:p>
    <w:p>
      <w:pPr>
        <w:spacing w:after="160" w:line="276"/>
        <w:jc w:val="both"/>
      </w:pPr>
      <w:r>
        <w:t xml:space="preserve">The table below summarizes the resources required to execute this project successfully.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200"/>
      </w:tblGrid>
      <w:tr>
        <w:trPr>
          <w:tblHeader/>
        </w:trPr>
        <w:tc>
          <w:tcPr>
            <w:tcW w:type="dxa" w:w="2800"/>
            <w:shd w:fill="1F4E79" w:color="auto" w:val="clear"/>
            <w:tcMar>
              <w:top w:type="dxa" w:w="100"/>
              <w:left w:type="dxa" w:w="120"/>
              <w:bottom w:type="dxa" w:w="100"/>
              <w:right w:type="dxa" w:w="120"/>
            </w:tcMar>
          </w:tcPr>
          <w:p>
            <w:r>
              <w:rPr>
                <w:b/>
                <w:bCs/>
                <w:color w:val="FFFFFF"/>
                <w:sz w:val="20"/>
                <w:szCs w:val="20"/>
              </w:rPr>
              <w:t xml:space="preserve">Resource Category</w:t>
            </w:r>
          </w:p>
        </w:tc>
        <w:tc>
          <w:tcPr>
            <w:tcW w:type="dxa" w:w="4200"/>
            <w:shd w:fill="1F4E79" w:color="auto" w:val="clear"/>
            <w:tcMar>
              <w:top w:type="dxa" w:w="100"/>
              <w:left w:type="dxa" w:w="120"/>
              <w:bottom w:type="dxa" w:w="100"/>
              <w:right w:type="dxa" w:w="120"/>
            </w:tcMar>
          </w:tcPr>
          <w:p>
            <w:r>
              <w:rPr>
                <w:b/>
                <w:bCs/>
                <w:color w:val="FFFFFF"/>
                <w:sz w:val="20"/>
                <w:szCs w:val="20"/>
              </w:rPr>
              <w:t xml:space="preserve">Details</w:t>
            </w:r>
          </w:p>
        </w:tc>
        <w:tc>
          <w:tcPr>
            <w:tcW w:type="dxa" w:w="3200"/>
            <w:shd w:fill="1F4E79" w:color="auto" w:val="clear"/>
            <w:tcMar>
              <w:top w:type="dxa" w:w="100"/>
              <w:left w:type="dxa" w:w="120"/>
              <w:bottom w:type="dxa" w:w="100"/>
              <w:right w:type="dxa" w:w="120"/>
            </w:tcMar>
          </w:tcPr>
          <w:p>
            <w:r>
              <w:rPr>
                <w:b/>
                <w:bCs/>
                <w:color w:val="FFFFFF"/>
                <w:sz w:val="20"/>
                <w:szCs w:val="20"/>
              </w:rPr>
              <w:t xml:space="preserve">Allocation / Notes</w:t>
            </w:r>
          </w:p>
        </w:tc>
      </w:tr>
      <w:tr>
        <w:tc>
          <w:tcPr>
            <w:tcW w:type="dxa" w:w="2800"/>
            <w:shd w:fill="F2F7FC" w:color="auto" w:val="clear"/>
            <w:tcMar>
              <w:top w:type="dxa" w:w="100"/>
              <w:left w:type="dxa" w:w="120"/>
              <w:bottom w:type="dxa" w:w="100"/>
              <w:right w:type="dxa" w:w="120"/>
            </w:tcMar>
          </w:tcPr>
          <w:p>
            <w:r>
              <w:rPr>
                <w:b w:val="false"/>
                <w:bCs w:val="false"/>
                <w:color w:val="000000"/>
                <w:sz w:val="20"/>
                <w:szCs w:val="20"/>
              </w:rPr>
              <w:t xml:space="preserve">Human Resources</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1 Data Science Intern (self), periodic mentor review</w:t>
            </w:r>
          </w:p>
        </w:tc>
        <w:tc>
          <w:tcPr>
            <w:tcW w:type="dxa" w:w="3200"/>
            <w:shd w:fill="F2F7FC" w:color="auto" w:val="clear"/>
            <w:tcMar>
              <w:top w:type="dxa" w:w="100"/>
              <w:left w:type="dxa" w:w="120"/>
              <w:bottom w:type="dxa" w:w="100"/>
              <w:right w:type="dxa" w:w="120"/>
            </w:tcMar>
          </w:tcPr>
          <w:p>
            <w:r>
              <w:rPr>
                <w:b w:val="false"/>
                <w:bCs w:val="false"/>
                <w:color w:val="000000"/>
                <w:sz w:val="20"/>
                <w:szCs w:val="20"/>
              </w:rPr>
              <w:t xml:space="preserve">Primary execution and reporting</w:t>
            </w:r>
          </w:p>
        </w:tc>
      </w:tr>
      <w:tr>
        <w:tc>
          <w:tcPr>
            <w:tcW w:type="dxa" w:w="2800"/>
            <w:shd w:fill="FFFFFF" w:color="auto" w:val="clear"/>
            <w:tcMar>
              <w:top w:type="dxa" w:w="100"/>
              <w:left w:type="dxa" w:w="120"/>
              <w:bottom w:type="dxa" w:w="100"/>
              <w:right w:type="dxa" w:w="120"/>
            </w:tcMar>
          </w:tcPr>
          <w:p>
            <w:r>
              <w:rPr>
                <w:b w:val="false"/>
                <w:bCs w:val="false"/>
                <w:color w:val="000000"/>
                <w:sz w:val="20"/>
                <w:szCs w:val="20"/>
              </w:rPr>
              <w:t xml:space="preserve">Computing</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Local machine / Google Colab (free tier)</w:t>
            </w:r>
          </w:p>
        </w:tc>
        <w:tc>
          <w:tcPr>
            <w:tcW w:type="dxa" w:w="3200"/>
            <w:shd w:fill="FFFFFF" w:color="auto" w:val="clear"/>
            <w:tcMar>
              <w:top w:type="dxa" w:w="100"/>
              <w:left w:type="dxa" w:w="120"/>
              <w:bottom w:type="dxa" w:w="100"/>
              <w:right w:type="dxa" w:w="120"/>
            </w:tcMar>
          </w:tcPr>
          <w:p>
            <w:r>
              <w:rPr>
                <w:b w:val="false"/>
                <w:bCs w:val="false"/>
                <w:color w:val="000000"/>
                <w:sz w:val="20"/>
                <w:szCs w:val="20"/>
              </w:rPr>
              <w:t xml:space="preserve">Sufficient for a dataset of this size (~7K rows)</w:t>
            </w:r>
          </w:p>
        </w:tc>
      </w:tr>
      <w:tr>
        <w:tc>
          <w:tcPr>
            <w:tcW w:type="dxa" w:w="2800"/>
            <w:shd w:fill="F2F7FC" w:color="auto" w:val="clear"/>
            <w:tcMar>
              <w:top w:type="dxa" w:w="100"/>
              <w:left w:type="dxa" w:w="120"/>
              <w:bottom w:type="dxa" w:w="100"/>
              <w:right w:type="dxa" w:w="120"/>
            </w:tcMar>
          </w:tcPr>
          <w:p>
            <w:r>
              <w:rPr>
                <w:b w:val="false"/>
                <w:bCs w:val="false"/>
                <w:color w:val="000000"/>
                <w:sz w:val="20"/>
                <w:szCs w:val="20"/>
              </w:rPr>
              <w:t xml:space="preserve">Software</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Python, Jupyter, Git</w:t>
            </w:r>
          </w:p>
        </w:tc>
        <w:tc>
          <w:tcPr>
            <w:tcW w:type="dxa" w:w="3200"/>
            <w:shd w:fill="F2F7FC" w:color="auto" w:val="clear"/>
            <w:tcMar>
              <w:top w:type="dxa" w:w="100"/>
              <w:left w:type="dxa" w:w="120"/>
              <w:bottom w:type="dxa" w:w="100"/>
              <w:right w:type="dxa" w:w="120"/>
            </w:tcMar>
          </w:tcPr>
          <w:p>
            <w:r>
              <w:rPr>
                <w:b w:val="false"/>
                <w:bCs w:val="false"/>
                <w:color w:val="000000"/>
                <w:sz w:val="20"/>
                <w:szCs w:val="20"/>
              </w:rPr>
              <w:t xml:space="preserve">All open-source, no licensing cost</w:t>
            </w:r>
          </w:p>
        </w:tc>
      </w:tr>
      <w:tr>
        <w:tc>
          <w:tcPr>
            <w:tcW w:type="dxa" w:w="2800"/>
            <w:shd w:fill="FFFFFF" w:color="auto" w:val="clear"/>
            <w:tcMar>
              <w:top w:type="dxa" w:w="100"/>
              <w:left w:type="dxa" w:w="120"/>
              <w:bottom w:type="dxa" w:w="100"/>
              <w:right w:type="dxa" w:w="120"/>
            </w:tcMar>
          </w:tcPr>
          <w:p>
            <w:r>
              <w:rPr>
                <w:b w:val="false"/>
                <w:bCs w:val="false"/>
                <w:color w:val="000000"/>
                <w:sz w:val="20"/>
                <w:szCs w:val="20"/>
              </w:rPr>
              <w:t xml:space="preserve">Data</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Public Kaggle/IBM Telco Churn dataset</w:t>
            </w:r>
          </w:p>
        </w:tc>
        <w:tc>
          <w:tcPr>
            <w:tcW w:type="dxa" w:w="3200"/>
            <w:shd w:fill="FFFFFF" w:color="auto" w:val="clear"/>
            <w:tcMar>
              <w:top w:type="dxa" w:w="100"/>
              <w:left w:type="dxa" w:w="120"/>
              <w:bottom w:type="dxa" w:w="100"/>
              <w:right w:type="dxa" w:w="120"/>
            </w:tcMar>
          </w:tcPr>
          <w:p>
            <w:r>
              <w:rPr>
                <w:b w:val="false"/>
                <w:bCs w:val="false"/>
                <w:color w:val="000000"/>
                <w:sz w:val="20"/>
                <w:szCs w:val="20"/>
              </w:rPr>
              <w:t xml:space="preserve">Freely available, no acquisition cost</w:t>
            </w:r>
          </w:p>
        </w:tc>
      </w:tr>
      <w:tr>
        <w:tc>
          <w:tcPr>
            <w:tcW w:type="dxa" w:w="2800"/>
            <w:shd w:fill="F2F7FC" w:color="auto" w:val="clear"/>
            <w:tcMar>
              <w:top w:type="dxa" w:w="100"/>
              <w:left w:type="dxa" w:w="120"/>
              <w:bottom w:type="dxa" w:w="100"/>
              <w:right w:type="dxa" w:w="120"/>
            </w:tcMar>
          </w:tcPr>
          <w:p>
            <w:r>
              <w:rPr>
                <w:b w:val="false"/>
                <w:bCs w:val="false"/>
                <w:color w:val="000000"/>
                <w:sz w:val="20"/>
                <w:szCs w:val="20"/>
              </w:rPr>
              <w:t xml:space="preserve">Time</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Approx. 4–6 weeks (see timeline)</w:t>
            </w:r>
          </w:p>
        </w:tc>
        <w:tc>
          <w:tcPr>
            <w:tcW w:type="dxa" w:w="3200"/>
            <w:shd w:fill="F2F7FC" w:color="auto" w:val="clear"/>
            <w:tcMar>
              <w:top w:type="dxa" w:w="100"/>
              <w:left w:type="dxa" w:w="120"/>
              <w:bottom w:type="dxa" w:w="100"/>
              <w:right w:type="dxa" w:w="120"/>
            </w:tcMar>
          </w:tcPr>
          <w:p>
            <w:r>
              <w:rPr>
                <w:b w:val="false"/>
                <w:bCs w:val="false"/>
                <w:color w:val="000000"/>
                <w:sz w:val="20"/>
                <w:szCs w:val="20"/>
              </w:rPr>
              <w:t xml:space="preserve">Allocated across planning, build, and reporting phases</w:t>
            </w:r>
          </w:p>
        </w:tc>
      </w:tr>
      <w:tr>
        <w:tc>
          <w:tcPr>
            <w:tcW w:type="dxa" w:w="2800"/>
            <w:shd w:fill="FFFFFF" w:color="auto" w:val="clear"/>
            <w:tcMar>
              <w:top w:type="dxa" w:w="100"/>
              <w:left w:type="dxa" w:w="120"/>
              <w:bottom w:type="dxa" w:w="100"/>
              <w:right w:type="dxa" w:w="120"/>
            </w:tcMar>
          </w:tcPr>
          <w:p>
            <w:r>
              <w:rPr>
                <w:b w:val="false"/>
                <w:bCs w:val="false"/>
                <w:color w:val="000000"/>
                <w:sz w:val="20"/>
                <w:szCs w:val="20"/>
              </w:rPr>
              <w:t xml:space="preserve">Storage</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GitHub repository + local storage</w:t>
            </w:r>
          </w:p>
        </w:tc>
        <w:tc>
          <w:tcPr>
            <w:tcW w:type="dxa" w:w="3200"/>
            <w:shd w:fill="FFFFFF" w:color="auto" w:val="clear"/>
            <w:tcMar>
              <w:top w:type="dxa" w:w="100"/>
              <w:left w:type="dxa" w:w="120"/>
              <w:bottom w:type="dxa" w:w="100"/>
              <w:right w:type="dxa" w:w="120"/>
            </w:tcMar>
          </w:tcPr>
          <w:p>
            <w:r>
              <w:rPr>
                <w:b w:val="false"/>
                <w:bCs w:val="false"/>
                <w:color w:val="000000"/>
                <w:sz w:val="20"/>
                <w:szCs w:val="20"/>
              </w:rPr>
              <w:t xml:space="preserve">For code, notebooks, and documentation versioning</w:t>
            </w:r>
          </w:p>
        </w:tc>
      </w:tr>
    </w:tbl>
    <w:p>
      <w:pPr>
        <w:pStyle w:val="Heading1"/>
        <w:spacing w:after="200" w:before="360"/>
      </w:pPr>
      <w:r>
        <w:t xml:space="preserve">5. Timeline and Milestones</w:t>
      </w:r>
    </w:p>
    <w:p>
      <w:pPr>
        <w:spacing w:after="160" w:line="276"/>
        <w:jc w:val="both"/>
      </w:pPr>
      <w:r>
        <w:t xml:space="preserve">The project is planned across five weeks, aligning with the internship's phased structure. Each phase concludes with a concrete, reviewable deliverable.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4200"/>
        <w:gridCol w:w="2200"/>
      </w:tblGrid>
      <w:tr>
        <w:trPr>
          <w:tblHeader/>
        </w:trPr>
        <w:tc>
          <w:tcPr>
            <w:tcW w:type="dxa" w:w="1200"/>
            <w:shd w:fill="1F4E79" w:color="auto" w:val="clear"/>
            <w:tcMar>
              <w:top w:type="dxa" w:w="100"/>
              <w:left w:type="dxa" w:w="120"/>
              <w:bottom w:type="dxa" w:w="100"/>
              <w:right w:type="dxa" w:w="120"/>
            </w:tcMar>
          </w:tcPr>
          <w:p>
            <w:r>
              <w:rPr>
                <w:b/>
                <w:bCs/>
                <w:color w:val="FFFFFF"/>
                <w:sz w:val="20"/>
                <w:szCs w:val="20"/>
              </w:rPr>
              <w:t xml:space="preserve">Week</w:t>
            </w:r>
          </w:p>
        </w:tc>
        <w:tc>
          <w:tcPr>
            <w:tcW w:type="dxa" w:w="2600"/>
            <w:shd w:fill="1F4E79" w:color="auto" w:val="clear"/>
            <w:tcMar>
              <w:top w:type="dxa" w:w="100"/>
              <w:left w:type="dxa" w:w="120"/>
              <w:bottom w:type="dxa" w:w="100"/>
              <w:right w:type="dxa" w:w="120"/>
            </w:tcMar>
          </w:tcPr>
          <w:p>
            <w:r>
              <w:rPr>
                <w:b/>
                <w:bCs/>
                <w:color w:val="FFFFFF"/>
                <w:sz w:val="20"/>
                <w:szCs w:val="20"/>
              </w:rPr>
              <w:t xml:space="preserve">Phase</w:t>
            </w:r>
          </w:p>
        </w:tc>
        <w:tc>
          <w:tcPr>
            <w:tcW w:type="dxa" w:w="4200"/>
            <w:shd w:fill="1F4E79" w:color="auto" w:val="clear"/>
            <w:tcMar>
              <w:top w:type="dxa" w:w="100"/>
              <w:left w:type="dxa" w:w="120"/>
              <w:bottom w:type="dxa" w:w="100"/>
              <w:right w:type="dxa" w:w="120"/>
            </w:tcMar>
          </w:tcPr>
          <w:p>
            <w:r>
              <w:rPr>
                <w:b/>
                <w:bCs/>
                <w:color w:val="FFFFFF"/>
                <w:sz w:val="20"/>
                <w:szCs w:val="20"/>
              </w:rPr>
              <w:t xml:space="preserve">Key Activities</w:t>
            </w:r>
          </w:p>
        </w:tc>
        <w:tc>
          <w:tcPr>
            <w:tcW w:type="dxa" w:w="2200"/>
            <w:shd w:fill="1F4E79" w:color="auto" w:val="clear"/>
            <w:tcMar>
              <w:top w:type="dxa" w:w="100"/>
              <w:left w:type="dxa" w:w="120"/>
              <w:bottom w:type="dxa" w:w="100"/>
              <w:right w:type="dxa" w:w="120"/>
            </w:tcMar>
          </w:tcPr>
          <w:p>
            <w:r>
              <w:rPr>
                <w:b/>
                <w:bCs/>
                <w:color w:val="FFFFFF"/>
                <w:sz w:val="20"/>
                <w:szCs w:val="20"/>
              </w:rPr>
              <w:t xml:space="preserve">Deliverable</w:t>
            </w:r>
          </w:p>
        </w:tc>
      </w:tr>
      <w:tr>
        <w:tc>
          <w:tcPr>
            <w:tcW w:type="dxa" w:w="1200"/>
            <w:shd w:fill="F2F7FC" w:color="auto" w:val="clear"/>
            <w:tcMar>
              <w:top w:type="dxa" w:w="100"/>
              <w:left w:type="dxa" w:w="120"/>
              <w:bottom w:type="dxa" w:w="100"/>
              <w:right w:type="dxa" w:w="120"/>
            </w:tcMar>
          </w:tcPr>
          <w:p>
            <w:r>
              <w:rPr>
                <w:b w:val="false"/>
                <w:bCs w:val="false"/>
                <w:color w:val="000000"/>
                <w:sz w:val="20"/>
                <w:szCs w:val="20"/>
              </w:rPr>
              <w:t xml:space="preserve">Week 1</w:t>
            </w:r>
          </w:p>
        </w:tc>
        <w:tc>
          <w:tcPr>
            <w:tcW w:type="dxa" w:w="2600"/>
            <w:shd w:fill="F2F7FC" w:color="auto" w:val="clear"/>
            <w:tcMar>
              <w:top w:type="dxa" w:w="100"/>
              <w:left w:type="dxa" w:w="120"/>
              <w:bottom w:type="dxa" w:w="100"/>
              <w:right w:type="dxa" w:w="120"/>
            </w:tcMar>
          </w:tcPr>
          <w:p>
            <w:r>
              <w:rPr>
                <w:b w:val="false"/>
                <w:bCs w:val="false"/>
                <w:color w:val="000000"/>
                <w:sz w:val="20"/>
                <w:szCs w:val="20"/>
              </w:rPr>
              <w:t xml:space="preserve">Planning &amp; Strategy</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Problem definition, objective setting, methodology design, risk assessment</w:t>
            </w:r>
          </w:p>
        </w:tc>
        <w:tc>
          <w:tcPr>
            <w:tcW w:type="dxa" w:w="2200"/>
            <w:shd w:fill="F2F7FC" w:color="auto" w:val="clear"/>
            <w:tcMar>
              <w:top w:type="dxa" w:w="100"/>
              <w:left w:type="dxa" w:w="120"/>
              <w:bottom w:type="dxa" w:w="100"/>
              <w:right w:type="dxa" w:w="120"/>
            </w:tcMar>
          </w:tcPr>
          <w:p>
            <w:r>
              <w:rPr>
                <w:b w:val="false"/>
                <w:bCs w:val="false"/>
                <w:color w:val="000000"/>
                <w:sz w:val="20"/>
                <w:szCs w:val="20"/>
              </w:rPr>
              <w:t xml:space="preserve">Research Proposal (this document)</w:t>
            </w:r>
          </w:p>
        </w:tc>
      </w:tr>
      <w:tr>
        <w:tc>
          <w:tcPr>
            <w:tcW w:type="dxa" w:w="1200"/>
            <w:shd w:fill="FFFFFF" w:color="auto" w:val="clear"/>
            <w:tcMar>
              <w:top w:type="dxa" w:w="100"/>
              <w:left w:type="dxa" w:w="120"/>
              <w:bottom w:type="dxa" w:w="100"/>
              <w:right w:type="dxa" w:w="120"/>
            </w:tcMar>
          </w:tcPr>
          <w:p>
            <w:r>
              <w:rPr>
                <w:b w:val="false"/>
                <w:bCs w:val="false"/>
                <w:color w:val="000000"/>
                <w:sz w:val="20"/>
                <w:szCs w:val="20"/>
              </w:rPr>
              <w:t xml:space="preserve">Week 2</w:t>
            </w:r>
          </w:p>
        </w:tc>
        <w:tc>
          <w:tcPr>
            <w:tcW w:type="dxa" w:w="2600"/>
            <w:shd w:fill="FFFFFF" w:color="auto" w:val="clear"/>
            <w:tcMar>
              <w:top w:type="dxa" w:w="100"/>
              <w:left w:type="dxa" w:w="120"/>
              <w:bottom w:type="dxa" w:w="100"/>
              <w:right w:type="dxa" w:w="120"/>
            </w:tcMar>
          </w:tcPr>
          <w:p>
            <w:r>
              <w:rPr>
                <w:b w:val="false"/>
                <w:bCs w:val="false"/>
                <w:color w:val="000000"/>
                <w:sz w:val="20"/>
                <w:szCs w:val="20"/>
              </w:rPr>
              <w:t xml:space="preserve">Data Collection &amp; Cleaning</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Acquire dataset, handle missing values, encode features, initial EDA</w:t>
            </w:r>
          </w:p>
        </w:tc>
        <w:tc>
          <w:tcPr>
            <w:tcW w:type="dxa" w:w="2200"/>
            <w:shd w:fill="FFFFFF" w:color="auto" w:val="clear"/>
            <w:tcMar>
              <w:top w:type="dxa" w:w="100"/>
              <w:left w:type="dxa" w:w="120"/>
              <w:bottom w:type="dxa" w:w="100"/>
              <w:right w:type="dxa" w:w="120"/>
            </w:tcMar>
          </w:tcPr>
          <w:p>
            <w:r>
              <w:rPr>
                <w:b w:val="false"/>
                <w:bCs w:val="false"/>
                <w:color w:val="000000"/>
                <w:sz w:val="20"/>
                <w:szCs w:val="20"/>
              </w:rPr>
              <w:t xml:space="preserve">Cleaned dataset + EDA notebook</w:t>
            </w:r>
          </w:p>
        </w:tc>
      </w:tr>
      <w:tr>
        <w:tc>
          <w:tcPr>
            <w:tcW w:type="dxa" w:w="1200"/>
            <w:shd w:fill="F2F7FC" w:color="auto" w:val="clear"/>
            <w:tcMar>
              <w:top w:type="dxa" w:w="100"/>
              <w:left w:type="dxa" w:w="120"/>
              <w:bottom w:type="dxa" w:w="100"/>
              <w:right w:type="dxa" w:w="120"/>
            </w:tcMar>
          </w:tcPr>
          <w:p>
            <w:r>
              <w:rPr>
                <w:b w:val="false"/>
                <w:bCs w:val="false"/>
                <w:color w:val="000000"/>
                <w:sz w:val="20"/>
                <w:szCs w:val="20"/>
              </w:rPr>
              <w:t xml:space="preserve">Week 3</w:t>
            </w:r>
          </w:p>
        </w:tc>
        <w:tc>
          <w:tcPr>
            <w:tcW w:type="dxa" w:w="2600"/>
            <w:shd w:fill="F2F7FC" w:color="auto" w:val="clear"/>
            <w:tcMar>
              <w:top w:type="dxa" w:w="100"/>
              <w:left w:type="dxa" w:w="120"/>
              <w:bottom w:type="dxa" w:w="100"/>
              <w:right w:type="dxa" w:w="120"/>
            </w:tcMar>
          </w:tcPr>
          <w:p>
            <w:r>
              <w:rPr>
                <w:b w:val="false"/>
                <w:bCs w:val="false"/>
                <w:color w:val="000000"/>
                <w:sz w:val="20"/>
                <w:szCs w:val="20"/>
              </w:rPr>
              <w:t xml:space="preserve">Feature Engineering &amp; Baseline Modeling</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Create derived features, train Logistic Regression baseline, handle class imbalance</w:t>
            </w:r>
          </w:p>
        </w:tc>
        <w:tc>
          <w:tcPr>
            <w:tcW w:type="dxa" w:w="2200"/>
            <w:shd w:fill="F2F7FC" w:color="auto" w:val="clear"/>
            <w:tcMar>
              <w:top w:type="dxa" w:w="100"/>
              <w:left w:type="dxa" w:w="120"/>
              <w:bottom w:type="dxa" w:w="100"/>
              <w:right w:type="dxa" w:w="120"/>
            </w:tcMar>
          </w:tcPr>
          <w:p>
            <w:r>
              <w:rPr>
                <w:b w:val="false"/>
                <w:bCs w:val="false"/>
                <w:color w:val="000000"/>
                <w:sz w:val="20"/>
                <w:szCs w:val="20"/>
              </w:rPr>
              <w:t xml:space="preserve">Baseline model + performance report</w:t>
            </w:r>
          </w:p>
        </w:tc>
      </w:tr>
      <w:tr>
        <w:tc>
          <w:tcPr>
            <w:tcW w:type="dxa" w:w="1200"/>
            <w:shd w:fill="FFFFFF" w:color="auto" w:val="clear"/>
            <w:tcMar>
              <w:top w:type="dxa" w:w="100"/>
              <w:left w:type="dxa" w:w="120"/>
              <w:bottom w:type="dxa" w:w="100"/>
              <w:right w:type="dxa" w:w="120"/>
            </w:tcMar>
          </w:tcPr>
          <w:p>
            <w:r>
              <w:rPr>
                <w:b w:val="false"/>
                <w:bCs w:val="false"/>
                <w:color w:val="000000"/>
                <w:sz w:val="20"/>
                <w:szCs w:val="20"/>
              </w:rPr>
              <w:t xml:space="preserve">Week 4</w:t>
            </w:r>
          </w:p>
        </w:tc>
        <w:tc>
          <w:tcPr>
            <w:tcW w:type="dxa" w:w="2600"/>
            <w:shd w:fill="FFFFFF" w:color="auto" w:val="clear"/>
            <w:tcMar>
              <w:top w:type="dxa" w:w="100"/>
              <w:left w:type="dxa" w:w="120"/>
              <w:bottom w:type="dxa" w:w="100"/>
              <w:right w:type="dxa" w:w="120"/>
            </w:tcMar>
          </w:tcPr>
          <w:p>
            <w:r>
              <w:rPr>
                <w:b w:val="false"/>
                <w:bCs w:val="false"/>
                <w:color w:val="000000"/>
                <w:sz w:val="20"/>
                <w:szCs w:val="20"/>
              </w:rPr>
              <w:t xml:space="preserve">Advanced Modeling &amp; Tuning</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Train Random Forest / XGBoost, hyperparameter tuning, cross-validation</w:t>
            </w:r>
          </w:p>
        </w:tc>
        <w:tc>
          <w:tcPr>
            <w:tcW w:type="dxa" w:w="2200"/>
            <w:shd w:fill="FFFFFF" w:color="auto" w:val="clear"/>
            <w:tcMar>
              <w:top w:type="dxa" w:w="100"/>
              <w:left w:type="dxa" w:w="120"/>
              <w:bottom w:type="dxa" w:w="100"/>
              <w:right w:type="dxa" w:w="120"/>
            </w:tcMar>
          </w:tcPr>
          <w:p>
            <w:r>
              <w:rPr>
                <w:b w:val="false"/>
                <w:bCs w:val="false"/>
                <w:color w:val="000000"/>
                <w:sz w:val="20"/>
                <w:szCs w:val="20"/>
              </w:rPr>
              <w:t xml:space="preserve">Best-performing tuned model</w:t>
            </w:r>
          </w:p>
        </w:tc>
      </w:tr>
      <w:tr>
        <w:tc>
          <w:tcPr>
            <w:tcW w:type="dxa" w:w="1200"/>
            <w:shd w:fill="F2F7FC" w:color="auto" w:val="clear"/>
            <w:tcMar>
              <w:top w:type="dxa" w:w="100"/>
              <w:left w:type="dxa" w:w="120"/>
              <w:bottom w:type="dxa" w:w="100"/>
              <w:right w:type="dxa" w:w="120"/>
            </w:tcMar>
          </w:tcPr>
          <w:p>
            <w:r>
              <w:rPr>
                <w:b w:val="false"/>
                <w:bCs w:val="false"/>
                <w:color w:val="000000"/>
                <w:sz w:val="20"/>
                <w:szCs w:val="20"/>
              </w:rPr>
              <w:t xml:space="preserve">Week 5</w:t>
            </w:r>
          </w:p>
        </w:tc>
        <w:tc>
          <w:tcPr>
            <w:tcW w:type="dxa" w:w="2600"/>
            <w:shd w:fill="F2F7FC" w:color="auto" w:val="clear"/>
            <w:tcMar>
              <w:top w:type="dxa" w:w="100"/>
              <w:left w:type="dxa" w:w="120"/>
              <w:bottom w:type="dxa" w:w="100"/>
              <w:right w:type="dxa" w:w="120"/>
            </w:tcMar>
          </w:tcPr>
          <w:p>
            <w:r>
              <w:rPr>
                <w:b w:val="false"/>
                <w:bCs w:val="false"/>
                <w:color w:val="000000"/>
                <w:sz w:val="20"/>
                <w:szCs w:val="20"/>
              </w:rPr>
              <w:t xml:space="preserve">Evaluation, Interpretation &amp; Reporting</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SHAP analysis, final evaluation, business recommendations, final report</w:t>
            </w:r>
          </w:p>
        </w:tc>
        <w:tc>
          <w:tcPr>
            <w:tcW w:type="dxa" w:w="2200"/>
            <w:shd w:fill="F2F7FC" w:color="auto" w:val="clear"/>
            <w:tcMar>
              <w:top w:type="dxa" w:w="100"/>
              <w:left w:type="dxa" w:w="120"/>
              <w:bottom w:type="dxa" w:w="100"/>
              <w:right w:type="dxa" w:w="120"/>
            </w:tcMar>
          </w:tcPr>
          <w:p>
            <w:r>
              <w:rPr>
                <w:b w:val="false"/>
                <w:bCs w:val="false"/>
                <w:color w:val="000000"/>
                <w:sz w:val="20"/>
                <w:szCs w:val="20"/>
              </w:rPr>
              <w:t xml:space="preserve">Final project report + GitHub repository</w:t>
            </w:r>
          </w:p>
        </w:tc>
      </w:tr>
    </w:tbl>
    <w:p>
      <w:r>
        <w:br w:type="page"/>
      </w:r>
    </w:p>
    <w:p>
      <w:pPr>
        <w:pStyle w:val="Heading1"/>
        <w:spacing w:after="200" w:before="360"/>
      </w:pPr>
      <w:r>
        <w:t xml:space="preserve">6. Potential Risks and Mitigation Strategies</w:t>
      </w:r>
    </w:p>
    <w:p>
      <w:pPr>
        <w:spacing w:after="160" w:line="276"/>
        <w:jc w:val="both"/>
      </w:pPr>
      <w:r>
        <w:t xml:space="preserve">Anticipating obstacles in advance allows the project to stay on schedule even when issues arise. Key risks and corresponding mitigation strategies are outlined below.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200"/>
      </w:tblGrid>
      <w:tr>
        <w:trPr>
          <w:tblHeader/>
        </w:trPr>
        <w:tc>
          <w:tcPr>
            <w:tcW w:type="dxa" w:w="3200"/>
            <w:shd w:fill="1F4E79" w:color="auto" w:val="clear"/>
            <w:tcMar>
              <w:top w:type="dxa" w:w="100"/>
              <w:left w:type="dxa" w:w="120"/>
              <w:bottom w:type="dxa" w:w="100"/>
              <w:right w:type="dxa" w:w="120"/>
            </w:tcMar>
          </w:tcPr>
          <w:p>
            <w:r>
              <w:rPr>
                <w:b/>
                <w:bCs/>
                <w:color w:val="FFFFFF"/>
                <w:sz w:val="20"/>
                <w:szCs w:val="20"/>
              </w:rPr>
              <w:t xml:space="preserve">Risk</w:t>
            </w:r>
          </w:p>
        </w:tc>
        <w:tc>
          <w:tcPr>
            <w:tcW w:type="dxa" w:w="1800"/>
            <w:shd w:fill="1F4E79" w:color="auto" w:val="clear"/>
            <w:tcMar>
              <w:top w:type="dxa" w:w="100"/>
              <w:left w:type="dxa" w:w="120"/>
              <w:bottom w:type="dxa" w:w="100"/>
              <w:right w:type="dxa" w:w="120"/>
            </w:tcMar>
          </w:tcPr>
          <w:p>
            <w:r>
              <w:rPr>
                <w:b/>
                <w:bCs/>
                <w:color w:val="FFFFFF"/>
                <w:sz w:val="20"/>
                <w:szCs w:val="20"/>
              </w:rPr>
              <w:t xml:space="preserve">Likelihood / Impact</w:t>
            </w:r>
          </w:p>
        </w:tc>
        <w:tc>
          <w:tcPr>
            <w:tcW w:type="dxa" w:w="5200"/>
            <w:shd w:fill="1F4E79" w:color="auto" w:val="clear"/>
            <w:tcMar>
              <w:top w:type="dxa" w:w="100"/>
              <w:left w:type="dxa" w:w="120"/>
              <w:bottom w:type="dxa" w:w="100"/>
              <w:right w:type="dxa" w:w="120"/>
            </w:tcMar>
          </w:tcPr>
          <w:p>
            <w:r>
              <w:rPr>
                <w:b/>
                <w:bCs/>
                <w:color w:val="FFFFFF"/>
                <w:sz w:val="20"/>
                <w:szCs w:val="20"/>
              </w:rPr>
              <w:t xml:space="preserve">Mitigation Strategy</w:t>
            </w:r>
          </w:p>
        </w:tc>
      </w:tr>
      <w:tr>
        <w:tc>
          <w:tcPr>
            <w:tcW w:type="dxa" w:w="3200"/>
            <w:shd w:fill="F2F7FC" w:color="auto" w:val="clear"/>
            <w:tcMar>
              <w:top w:type="dxa" w:w="100"/>
              <w:left w:type="dxa" w:w="120"/>
              <w:bottom w:type="dxa" w:w="100"/>
              <w:right w:type="dxa" w:w="120"/>
            </w:tcMar>
          </w:tcPr>
          <w:p>
            <w:r>
              <w:rPr>
                <w:b w:val="false"/>
                <w:bCs w:val="false"/>
                <w:color w:val="000000"/>
                <w:sz w:val="20"/>
                <w:szCs w:val="20"/>
              </w:rPr>
              <w:t xml:space="preserve">Class imbalance skews model toward predicting “no churn”</w:t>
            </w:r>
          </w:p>
        </w:tc>
        <w:tc>
          <w:tcPr>
            <w:tcW w:type="dxa" w:w="1800"/>
            <w:shd w:fill="F2F7FC" w:color="auto" w:val="clear"/>
            <w:tcMar>
              <w:top w:type="dxa" w:w="100"/>
              <w:left w:type="dxa" w:w="120"/>
              <w:bottom w:type="dxa" w:w="100"/>
              <w:right w:type="dxa" w:w="120"/>
            </w:tcMar>
          </w:tcPr>
          <w:p>
            <w:r>
              <w:rPr>
                <w:b w:val="false"/>
                <w:bCs w:val="false"/>
                <w:color w:val="000000"/>
                <w:sz w:val="20"/>
                <w:szCs w:val="20"/>
              </w:rPr>
              <w:t xml:space="preserve">High / High</w:t>
            </w:r>
          </w:p>
        </w:tc>
        <w:tc>
          <w:tcPr>
            <w:tcW w:type="dxa" w:w="5200"/>
            <w:shd w:fill="F2F7FC" w:color="auto" w:val="clear"/>
            <w:tcMar>
              <w:top w:type="dxa" w:w="100"/>
              <w:left w:type="dxa" w:w="120"/>
              <w:bottom w:type="dxa" w:w="100"/>
              <w:right w:type="dxa" w:w="120"/>
            </w:tcMar>
          </w:tcPr>
          <w:p>
            <w:r>
              <w:rPr>
                <w:b w:val="false"/>
                <w:bCs w:val="false"/>
                <w:color w:val="000000"/>
                <w:sz w:val="20"/>
                <w:szCs w:val="20"/>
              </w:rPr>
              <w:t xml:space="preserve">Apply SMOTE, class-weighting, and evaluate with precision/recall/F1 and ROC-AUC rather than accuracy alone.</w:t>
            </w:r>
          </w:p>
        </w:tc>
      </w:tr>
      <w:tr>
        <w:tc>
          <w:tcPr>
            <w:tcW w:type="dxa" w:w="3200"/>
            <w:shd w:fill="FFFFFF" w:color="auto" w:val="clear"/>
            <w:tcMar>
              <w:top w:type="dxa" w:w="100"/>
              <w:left w:type="dxa" w:w="120"/>
              <w:bottom w:type="dxa" w:w="100"/>
              <w:right w:type="dxa" w:w="120"/>
            </w:tcMar>
          </w:tcPr>
          <w:p>
            <w:r>
              <w:rPr>
                <w:b w:val="false"/>
                <w:bCs w:val="false"/>
                <w:color w:val="000000"/>
                <w:sz w:val="20"/>
                <w:szCs w:val="20"/>
              </w:rPr>
              <w:t xml:space="preserve">Data quality issues (missing values, inconsistent categories)</w:t>
            </w:r>
          </w:p>
        </w:tc>
        <w:tc>
          <w:tcPr>
            <w:tcW w:type="dxa" w:w="1800"/>
            <w:shd w:fill="FFFFFF" w:color="auto" w:val="clear"/>
            <w:tcMar>
              <w:top w:type="dxa" w:w="100"/>
              <w:left w:type="dxa" w:w="120"/>
              <w:bottom w:type="dxa" w:w="100"/>
              <w:right w:type="dxa" w:w="120"/>
            </w:tcMar>
          </w:tcPr>
          <w:p>
            <w:r>
              <w:rPr>
                <w:b w:val="false"/>
                <w:bCs w:val="false"/>
                <w:color w:val="000000"/>
                <w:sz w:val="20"/>
                <w:szCs w:val="20"/>
              </w:rPr>
              <w:t xml:space="preserve">Medium / Medium</w:t>
            </w:r>
          </w:p>
        </w:tc>
        <w:tc>
          <w:tcPr>
            <w:tcW w:type="dxa" w:w="5200"/>
            <w:shd w:fill="FFFFFF" w:color="auto" w:val="clear"/>
            <w:tcMar>
              <w:top w:type="dxa" w:w="100"/>
              <w:left w:type="dxa" w:w="120"/>
              <w:bottom w:type="dxa" w:w="100"/>
              <w:right w:type="dxa" w:w="120"/>
            </w:tcMar>
          </w:tcPr>
          <w:p>
            <w:r>
              <w:rPr>
                <w:b w:val="false"/>
                <w:bCs w:val="false"/>
                <w:color w:val="000000"/>
                <w:sz w:val="20"/>
                <w:szCs w:val="20"/>
              </w:rPr>
              <w:t xml:space="preserve">Perform thorough EDA early; use imputation strategies and validation checks before modeling.</w:t>
            </w:r>
          </w:p>
        </w:tc>
      </w:tr>
      <w:tr>
        <w:tc>
          <w:tcPr>
            <w:tcW w:type="dxa" w:w="3200"/>
            <w:shd w:fill="F2F7FC" w:color="auto" w:val="clear"/>
            <w:tcMar>
              <w:top w:type="dxa" w:w="100"/>
              <w:left w:type="dxa" w:w="120"/>
              <w:bottom w:type="dxa" w:w="100"/>
              <w:right w:type="dxa" w:w="120"/>
            </w:tcMar>
          </w:tcPr>
          <w:p>
            <w:r>
              <w:rPr>
                <w:b w:val="false"/>
                <w:bCs w:val="false"/>
                <w:color w:val="000000"/>
                <w:sz w:val="20"/>
                <w:szCs w:val="20"/>
              </w:rPr>
              <w:t xml:space="preserve">Overfitting on a relatively small dataset (~7K rows)</w:t>
            </w:r>
          </w:p>
        </w:tc>
        <w:tc>
          <w:tcPr>
            <w:tcW w:type="dxa" w:w="1800"/>
            <w:shd w:fill="F2F7FC" w:color="auto" w:val="clear"/>
            <w:tcMar>
              <w:top w:type="dxa" w:w="100"/>
              <w:left w:type="dxa" w:w="120"/>
              <w:bottom w:type="dxa" w:w="100"/>
              <w:right w:type="dxa" w:w="120"/>
            </w:tcMar>
          </w:tcPr>
          <w:p>
            <w:r>
              <w:rPr>
                <w:b w:val="false"/>
                <w:bCs w:val="false"/>
                <w:color w:val="000000"/>
                <w:sz w:val="20"/>
                <w:szCs w:val="20"/>
              </w:rPr>
              <w:t xml:space="preserve">Medium / Medium</w:t>
            </w:r>
          </w:p>
        </w:tc>
        <w:tc>
          <w:tcPr>
            <w:tcW w:type="dxa" w:w="5200"/>
            <w:shd w:fill="F2F7FC" w:color="auto" w:val="clear"/>
            <w:tcMar>
              <w:top w:type="dxa" w:w="100"/>
              <w:left w:type="dxa" w:w="120"/>
              <w:bottom w:type="dxa" w:w="100"/>
              <w:right w:type="dxa" w:w="120"/>
            </w:tcMar>
          </w:tcPr>
          <w:p>
            <w:r>
              <w:rPr>
                <w:b w:val="false"/>
                <w:bCs w:val="false"/>
                <w:color w:val="000000"/>
                <w:sz w:val="20"/>
                <w:szCs w:val="20"/>
              </w:rPr>
              <w:t xml:space="preserve">Use k-fold cross-validation, regularization, and hold-out test sets; prefer simpler models if complex ones do not generalize better.</w:t>
            </w:r>
          </w:p>
        </w:tc>
      </w:tr>
      <w:tr>
        <w:tc>
          <w:tcPr>
            <w:tcW w:type="dxa" w:w="3200"/>
            <w:shd w:fill="FFFFFF" w:color="auto" w:val="clear"/>
            <w:tcMar>
              <w:top w:type="dxa" w:w="100"/>
              <w:left w:type="dxa" w:w="120"/>
              <w:bottom w:type="dxa" w:w="100"/>
              <w:right w:type="dxa" w:w="120"/>
            </w:tcMar>
          </w:tcPr>
          <w:p>
            <w:r>
              <w:rPr>
                <w:b w:val="false"/>
                <w:bCs w:val="false"/>
                <w:color w:val="000000"/>
                <w:sz w:val="20"/>
                <w:szCs w:val="20"/>
              </w:rPr>
              <w:t xml:space="preserve">Limited compute resources slow down hyperparameter search</w:t>
            </w:r>
          </w:p>
        </w:tc>
        <w:tc>
          <w:tcPr>
            <w:tcW w:type="dxa" w:w="1800"/>
            <w:shd w:fill="FFFFFF" w:color="auto" w:val="clear"/>
            <w:tcMar>
              <w:top w:type="dxa" w:w="100"/>
              <w:left w:type="dxa" w:w="120"/>
              <w:bottom w:type="dxa" w:w="100"/>
              <w:right w:type="dxa" w:w="120"/>
            </w:tcMar>
          </w:tcPr>
          <w:p>
            <w:r>
              <w:rPr>
                <w:b w:val="false"/>
                <w:bCs w:val="false"/>
                <w:color w:val="000000"/>
                <w:sz w:val="20"/>
                <w:szCs w:val="20"/>
              </w:rPr>
              <w:t xml:space="preserve">Low / Medium</w:t>
            </w:r>
          </w:p>
        </w:tc>
        <w:tc>
          <w:tcPr>
            <w:tcW w:type="dxa" w:w="5200"/>
            <w:shd w:fill="FFFFFF" w:color="auto" w:val="clear"/>
            <w:tcMar>
              <w:top w:type="dxa" w:w="100"/>
              <w:left w:type="dxa" w:w="120"/>
              <w:bottom w:type="dxa" w:w="100"/>
              <w:right w:type="dxa" w:w="120"/>
            </w:tcMar>
          </w:tcPr>
          <w:p>
            <w:r>
              <w:rPr>
                <w:b w:val="false"/>
                <w:bCs w:val="false"/>
                <w:color w:val="000000"/>
                <w:sz w:val="20"/>
                <w:szCs w:val="20"/>
              </w:rPr>
              <w:t xml:space="preserve">Use RandomizedSearchCV instead of exhaustive GridSearchCV; leverage free cloud notebooks (Colab) as a fallback.</w:t>
            </w:r>
          </w:p>
        </w:tc>
      </w:tr>
      <w:tr>
        <w:tc>
          <w:tcPr>
            <w:tcW w:type="dxa" w:w="3200"/>
            <w:shd w:fill="F2F7FC" w:color="auto" w:val="clear"/>
            <w:tcMar>
              <w:top w:type="dxa" w:w="100"/>
              <w:left w:type="dxa" w:w="120"/>
              <w:bottom w:type="dxa" w:w="100"/>
              <w:right w:type="dxa" w:w="120"/>
            </w:tcMar>
          </w:tcPr>
          <w:p>
            <w:r>
              <w:rPr>
                <w:b w:val="false"/>
                <w:bCs w:val="false"/>
                <w:color w:val="000000"/>
                <w:sz w:val="20"/>
                <w:szCs w:val="20"/>
              </w:rPr>
              <w:t xml:space="preserve">Model insights are statistically valid but not practically actionable</w:t>
            </w:r>
          </w:p>
        </w:tc>
        <w:tc>
          <w:tcPr>
            <w:tcW w:type="dxa" w:w="1800"/>
            <w:shd w:fill="F2F7FC" w:color="auto" w:val="clear"/>
            <w:tcMar>
              <w:top w:type="dxa" w:w="100"/>
              <w:left w:type="dxa" w:w="120"/>
              <w:bottom w:type="dxa" w:w="100"/>
              <w:right w:type="dxa" w:w="120"/>
            </w:tcMar>
          </w:tcPr>
          <w:p>
            <w:r>
              <w:rPr>
                <w:b w:val="false"/>
                <w:bCs w:val="false"/>
                <w:color w:val="000000"/>
                <w:sz w:val="20"/>
                <w:szCs w:val="20"/>
              </w:rPr>
              <w:t xml:space="preserve">Medium / High</w:t>
            </w:r>
          </w:p>
        </w:tc>
        <w:tc>
          <w:tcPr>
            <w:tcW w:type="dxa" w:w="5200"/>
            <w:shd w:fill="F2F7FC" w:color="auto" w:val="clear"/>
            <w:tcMar>
              <w:top w:type="dxa" w:w="100"/>
              <w:left w:type="dxa" w:w="120"/>
              <w:bottom w:type="dxa" w:w="100"/>
              <w:right w:type="dxa" w:w="120"/>
            </w:tcMar>
          </w:tcPr>
          <w:p>
            <w:r>
              <w:rPr>
                <w:b w:val="false"/>
                <w:bCs w:val="false"/>
                <w:color w:val="000000"/>
                <w:sz w:val="20"/>
                <w:szCs w:val="20"/>
              </w:rPr>
              <w:t xml:space="preserve">Pair every modeling result with a business-oriented interpretation session; validate top churn drivers against domain intuition and available literature.</w:t>
            </w:r>
          </w:p>
        </w:tc>
      </w:tr>
      <w:tr>
        <w:tc>
          <w:tcPr>
            <w:tcW w:type="dxa" w:w="3200"/>
            <w:shd w:fill="FFFFFF" w:color="auto" w:val="clear"/>
            <w:tcMar>
              <w:top w:type="dxa" w:w="100"/>
              <w:left w:type="dxa" w:w="120"/>
              <w:bottom w:type="dxa" w:w="100"/>
              <w:right w:type="dxa" w:w="120"/>
            </w:tcMar>
          </w:tcPr>
          <w:p>
            <w:r>
              <w:rPr>
                <w:b w:val="false"/>
                <w:bCs w:val="false"/>
                <w:color w:val="000000"/>
                <w:sz w:val="20"/>
                <w:szCs w:val="20"/>
              </w:rPr>
              <w:t xml:space="preserve">Timeline slippage due to unforeseen data issues</w:t>
            </w:r>
          </w:p>
        </w:tc>
        <w:tc>
          <w:tcPr>
            <w:tcW w:type="dxa" w:w="1800"/>
            <w:shd w:fill="FFFFFF" w:color="auto" w:val="clear"/>
            <w:tcMar>
              <w:top w:type="dxa" w:w="100"/>
              <w:left w:type="dxa" w:w="120"/>
              <w:bottom w:type="dxa" w:w="100"/>
              <w:right w:type="dxa" w:w="120"/>
            </w:tcMar>
          </w:tcPr>
          <w:p>
            <w:r>
              <w:rPr>
                <w:b w:val="false"/>
                <w:bCs w:val="false"/>
                <w:color w:val="000000"/>
                <w:sz w:val="20"/>
                <w:szCs w:val="20"/>
              </w:rPr>
              <w:t xml:space="preserve">Medium / Medium</w:t>
            </w:r>
          </w:p>
        </w:tc>
        <w:tc>
          <w:tcPr>
            <w:tcW w:type="dxa" w:w="5200"/>
            <w:shd w:fill="FFFFFF" w:color="auto" w:val="clear"/>
            <w:tcMar>
              <w:top w:type="dxa" w:w="100"/>
              <w:left w:type="dxa" w:w="120"/>
              <w:bottom w:type="dxa" w:w="100"/>
              <w:right w:type="dxa" w:w="120"/>
            </w:tcMar>
          </w:tcPr>
          <w:p>
            <w:r>
              <w:rPr>
                <w:b w:val="false"/>
                <w:bCs w:val="false"/>
                <w:color w:val="000000"/>
                <w:sz w:val="20"/>
                <w:szCs w:val="20"/>
              </w:rPr>
              <w:t xml:space="preserve">Build in buffer time within each week's plan and prioritize a working baseline model early (Week 3) before pursuing further optimization.</w:t>
            </w:r>
          </w:p>
        </w:tc>
      </w:tr>
    </w:tbl>
    <w:p>
      <w:pPr>
        <w:pStyle w:val="Heading1"/>
        <w:spacing w:after="200" w:before="360"/>
      </w:pPr>
      <w:r>
        <w:t xml:space="preserve">7. Expected Outcomes</w:t>
      </w:r>
    </w:p>
    <w:p>
      <w:pPr>
        <w:pStyle w:val="ListParagraph"/>
        <w:numPr>
          <w:ilvl w:val="0"/>
          <w:numId w:val="2"/>
        </w:numPr>
        <w:spacing w:after="100" w:line="276"/>
      </w:pPr>
      <w:r>
        <w:t xml:space="preserve">A validated, well-documented Python pipeline that predicts customer churn with strong recall on the churn class.</w:t>
      </w:r>
    </w:p>
    <w:p>
      <w:pPr>
        <w:pStyle w:val="ListParagraph"/>
        <w:numPr>
          <w:ilvl w:val="0"/>
          <w:numId w:val="2"/>
        </w:numPr>
        <w:spacing w:after="100" w:line="276"/>
      </w:pPr>
      <w:r>
        <w:t xml:space="preserve">A ranked list of the top factors driving churn (e.g., contract type, tenure, monthly charges, payment method).</w:t>
      </w:r>
    </w:p>
    <w:p>
      <w:pPr>
        <w:pStyle w:val="ListParagraph"/>
        <w:numPr>
          <w:ilvl w:val="0"/>
          <w:numId w:val="2"/>
        </w:numPr>
        <w:spacing w:after="100" w:line="276"/>
      </w:pPr>
      <w:r>
        <w:t xml:space="preserve">A concise set of business recommendations – for example, targeted retention offers for month-to-month contract holders in their first 12 months.</w:t>
      </w:r>
    </w:p>
    <w:p>
      <w:pPr>
        <w:pStyle w:val="ListParagraph"/>
        <w:numPr>
          <w:ilvl w:val="0"/>
          <w:numId w:val="2"/>
        </w:numPr>
        <w:spacing w:after="100" w:line="276"/>
      </w:pPr>
      <w:r>
        <w:t xml:space="preserve">A public GitHub repository containing clean, reproducible code, notebooks, and documentation.</w:t>
      </w:r>
    </w:p>
    <w:p>
      <w:pPr>
        <w:pStyle w:val="ListParagraph"/>
        <w:numPr>
          <w:ilvl w:val="0"/>
          <w:numId w:val="2"/>
        </w:numPr>
        <w:spacing w:after="100" w:line="276"/>
      </w:pPr>
      <w:r>
        <w:t xml:space="preserve">A foundation of reusable code and methodology for subsequent, more advanced project phases in the internship.</w:t>
      </w:r>
    </w:p>
    <w:p>
      <w:pPr>
        <w:pStyle w:val="Heading1"/>
        <w:spacing w:after="200" w:before="360"/>
      </w:pPr>
      <w:r>
        <w:t xml:space="preserve">8. Conclusion</w:t>
      </w:r>
    </w:p>
    <w:p>
      <w:pPr>
        <w:spacing w:after="160" w:line="276"/>
        <w:jc w:val="both"/>
      </w:pPr>
      <w:r>
        <w:t xml:space="preserve">This proposal outlines a structured, evidence-based plan to tackle customer churn prediction in the telecommunications industry using Python and standard data science methodologies. By combining careful problem framing, a realistic and phased timeline, thoughtful resource allocation, and proactive risk mitigation, the project is designed to deliver both a technically sound predictive model and genuinely actionable business insight. This planning phase establishes the roadmap that will guide execution in the weeks that follow.</w:t>
      </w:r>
    </w:p>
    <w:p>
      <w:pPr>
        <w:pStyle w:val="Heading1"/>
        <w:spacing w:after="200" w:before="360"/>
      </w:pPr>
      <w:r>
        <w:t xml:space="preserve">References</w:t>
      </w:r>
    </w:p>
    <w:p>
      <w:pPr>
        <w:spacing w:after="160" w:line="276"/>
        <w:jc w:val="both"/>
      </w:pPr>
      <w:r>
        <w:rPr>
          <w:i/>
          <w:iCs/>
        </w:rPr>
        <w:t xml:space="preserve">IBM / Kaggle. “Telco Customer Churn” dataset. Available via Kaggle Datasets repository.</w:t>
      </w:r>
    </w:p>
    <w:p>
      <w:pPr>
        <w:spacing w:after="160" w:line="276"/>
        <w:jc w:val="both"/>
      </w:pPr>
      <w:r>
        <w:rPr>
          <w:i/>
          <w:iCs/>
        </w:rPr>
        <w:t xml:space="preserve">Reichheld, F. F., &amp; Sasser, W. E. “Zero Defections: Quality Comes to Services.” Harvard Business Review.</w:t>
      </w:r>
    </w:p>
    <w:p>
      <w:pPr>
        <w:spacing w:after="160" w:line="276"/>
        <w:jc w:val="both"/>
      </w:pPr>
      <w:r>
        <w:rPr>
          <w:i/>
          <w:iCs/>
        </w:rPr>
        <w:t xml:space="preserve">Scikit-learn Documentation. https://scikit-learn.org</w:t>
      </w:r>
    </w:p>
    <w:p>
      <w:pPr>
        <w:spacing w:after="160" w:line="276"/>
        <w:jc w:val="both"/>
      </w:pPr>
      <w:r>
        <w:rPr>
          <w:i/>
          <w:iCs/>
        </w:rPr>
        <w:t xml:space="preserve">Lundberg, S. M., &amp; Lee, S. “A Unified Approach to Interpreting Model Predictions” (SHAP). NeurIPS.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Research Proposal – Customer Churn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2026-09-01T14:25:12.139Z</dcterms:created>
  <dcterms:modified xsi:type="dcterms:W3CDTF">2026-09-01T14:25:12.139Z</dcterms:modified>
</cp:coreProperties>
</file>

<file path=docProps/custom.xml><?xml version="1.0" encoding="utf-8"?>
<Properties xmlns="http://schemas.openxmlformats.org/officeDocument/2006/custom-properties" xmlns:vt="http://schemas.openxmlformats.org/officeDocument/2006/docPropsVTypes"/>
</file>