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Concise XAI Summary — Key Drivers &amp; Actionable Insights</w:t>
      </w:r>
    </w:p>
    <w:p/>
    <w:p>
      <w:r>
        <w:t>1. Temperature is the strongest driver of energy consumption</w:t>
      </w:r>
    </w:p>
    <w:p>
      <w:r>
        <w:t>SHAP analysis shows temperature contributes the highest share of predictive power.</w:t>
      </w:r>
    </w:p>
    <w:p>
      <w:r>
        <w:t>High temperatures → higher energy demand (cooling load).</w:t>
      </w:r>
    </w:p>
    <w:p>
      <w:r>
        <w:t>Low temperatures → moderate demand.</w:t>
      </w:r>
    </w:p>
    <w:p/>
    <w:p>
      <w:r>
        <w:t>Actionable insight:</w:t>
      </w:r>
    </w:p>
    <w:p>
      <w:r>
        <w:t>Optimize cooling efficiency during peak temperature windows; prioritize load shifting strategies between 12 PM–4 PM.</w:t>
      </w:r>
    </w:p>
    <w:p/>
    <w:p>
      <w:r>
        <w:t>2. Lagged values strongly influence consumption</w:t>
      </w:r>
    </w:p>
    <w:p>
      <w:r>
        <w:t>Model relies heavily on lag_1, lag_24, lag_168.</w:t>
      </w:r>
    </w:p>
    <w:p/>
    <w:p>
      <w:r>
        <w:t>Actionable insight:</w:t>
      </w:r>
    </w:p>
    <w:p>
      <w:r>
        <w:t>Demand forecasting should incorporate short-term, daily, and weekly patterns.</w:t>
      </w:r>
    </w:p>
    <w:p/>
    <w:p>
      <w:r>
        <w:t>3. Humidity increases demand unpredictably</w:t>
      </w:r>
    </w:p>
    <w:p>
      <w:r>
        <w:t>Rising humidity pushes energy usage upward.</w:t>
      </w:r>
    </w:p>
    <w:p/>
    <w:p>
      <w:r>
        <w:t>Actionable insight:</w:t>
      </w:r>
    </w:p>
    <w:p>
      <w:r>
        <w:t>Integrate humidity-adjusted cooling controls; predictive ventilation scheduling.</w:t>
      </w:r>
    </w:p>
    <w:p/>
    <w:p>
      <w:r>
        <w:t>4. Solar radiation reduces grid load during daylight hours</w:t>
      </w:r>
    </w:p>
    <w:p>
      <w:r>
        <w:t>More solar → lower grid consumption.</w:t>
      </w:r>
    </w:p>
    <w:p/>
    <w:p>
      <w:r>
        <w:t>Actionable insight:</w:t>
      </w:r>
    </w:p>
    <w:p>
      <w:r>
        <w:t>Expand solar integration and storage.</w:t>
      </w:r>
    </w:p>
    <w:p/>
    <w:p>
      <w:r>
        <w:t>5. Wind speed has moderate stabilizing influence</w:t>
      </w:r>
    </w:p>
    <w:p>
      <w:r>
        <w:t>Higher wind speed slightly reduces consumption.</w:t>
      </w:r>
    </w:p>
    <w:p/>
    <w:p>
      <w:r>
        <w:t>Actionable insight:</w:t>
      </w:r>
    </w:p>
    <w:p>
      <w:r>
        <w:t>Consider wind-adjusted HVAC optimization.</w:t>
      </w:r>
    </w:p>
    <w:p/>
    <w:p>
      <w:r>
        <w:t>6. Time-based features capture strong seasonal usage shifts</w:t>
      </w:r>
    </w:p>
    <w:p>
      <w:r>
        <w:t>Hour, day, month strongly influence consumption.</w:t>
      </w:r>
    </w:p>
    <w:p/>
    <w:p>
      <w:r>
        <w:t>Actionable insight:</w:t>
      </w:r>
    </w:p>
    <w:p>
      <w:r>
        <w:t>Design tariff models and operational scheduling based on hourly and seasonal profiles.</w:t>
      </w:r>
    </w:p>
    <w:p/>
    <w:p>
      <w:r>
        <w:t>7. Gradient Boosting Model outperforms ARIMA</w:t>
      </w:r>
    </w:p>
    <w:p>
      <w:r>
        <w:t>GBM has lower MAE &amp; RMSE.</w:t>
      </w:r>
    </w:p>
    <w:p/>
    <w:p>
      <w:r>
        <w:t>Actionable insight:</w:t>
      </w:r>
    </w:p>
    <w:p>
      <w:r>
        <w:t>Use GBM for operational forecasting.</w:t>
      </w:r>
    </w:p>
    <w:p/>
    <w:p>
      <w:r>
        <w:t>8. SHAP Local Explanations confirm model reliability</w:t>
      </w:r>
    </w:p>
    <w:p>
      <w:r>
        <w:t>Temperature + lag features dominate consistently.</w:t>
      </w:r>
    </w:p>
    <w:p/>
    <w:p>
      <w:r>
        <w:t>Actionable insight:</w:t>
      </w:r>
    </w:p>
    <w:p>
      <w:r>
        <w:t>Model is stable for decision-making.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