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75F8" w14:textId="6FFBEA9B" w:rsidR="00463F89" w:rsidRDefault="00463F89">
      <w:r>
        <w:t xml:space="preserve">Statistical analysis of the table: </w:t>
      </w:r>
    </w:p>
    <w:tbl>
      <w:tblPr>
        <w:tblStyle w:val="TableGrid"/>
        <w:tblW w:w="0" w:type="auto"/>
        <w:tblLook w:val="04A0" w:firstRow="1" w:lastRow="0" w:firstColumn="1" w:lastColumn="0" w:noHBand="0" w:noVBand="1"/>
      </w:tblPr>
      <w:tblGrid>
        <w:gridCol w:w="3504"/>
        <w:gridCol w:w="1314"/>
        <w:gridCol w:w="949"/>
        <w:gridCol w:w="2217"/>
        <w:gridCol w:w="1366"/>
      </w:tblGrid>
      <w:tr w:rsidR="00463F89" w:rsidRPr="00463F89" w14:paraId="0308E38E" w14:textId="77777777" w:rsidTr="00463F89">
        <w:trPr>
          <w:trHeight w:val="312"/>
        </w:trPr>
        <w:tc>
          <w:tcPr>
            <w:tcW w:w="4000" w:type="dxa"/>
            <w:noWrap/>
            <w:hideMark/>
          </w:tcPr>
          <w:p w14:paraId="3CE79D91" w14:textId="77777777" w:rsidR="00463F89" w:rsidRPr="00463F89" w:rsidRDefault="00463F89">
            <w:pPr>
              <w:rPr>
                <w:b/>
                <w:bCs/>
              </w:rPr>
            </w:pPr>
            <w:r w:rsidRPr="00463F89">
              <w:rPr>
                <w:b/>
                <w:bCs/>
              </w:rPr>
              <w:t>Successful Campaigns</w:t>
            </w:r>
          </w:p>
        </w:tc>
        <w:tc>
          <w:tcPr>
            <w:tcW w:w="1480" w:type="dxa"/>
            <w:noWrap/>
            <w:hideMark/>
          </w:tcPr>
          <w:p w14:paraId="1C94A8E8" w14:textId="77777777" w:rsidR="00463F89" w:rsidRPr="00463F89" w:rsidRDefault="00463F89">
            <w:pPr>
              <w:rPr>
                <w:b/>
                <w:bCs/>
              </w:rPr>
            </w:pPr>
          </w:p>
        </w:tc>
        <w:tc>
          <w:tcPr>
            <w:tcW w:w="1060" w:type="dxa"/>
            <w:noWrap/>
            <w:hideMark/>
          </w:tcPr>
          <w:p w14:paraId="0E208EF9" w14:textId="77777777" w:rsidR="00463F89" w:rsidRPr="00463F89" w:rsidRDefault="00463F89"/>
        </w:tc>
        <w:tc>
          <w:tcPr>
            <w:tcW w:w="2520" w:type="dxa"/>
            <w:noWrap/>
            <w:hideMark/>
          </w:tcPr>
          <w:p w14:paraId="12198CE6" w14:textId="77777777" w:rsidR="00463F89" w:rsidRPr="00463F89" w:rsidRDefault="00463F89">
            <w:pPr>
              <w:rPr>
                <w:b/>
                <w:bCs/>
              </w:rPr>
            </w:pPr>
            <w:proofErr w:type="spellStart"/>
            <w:r w:rsidRPr="00463F89">
              <w:rPr>
                <w:b/>
                <w:bCs/>
              </w:rPr>
              <w:t>Unsucessful</w:t>
            </w:r>
            <w:proofErr w:type="spellEnd"/>
            <w:r w:rsidRPr="00463F89">
              <w:rPr>
                <w:b/>
                <w:bCs/>
              </w:rPr>
              <w:t xml:space="preserve"> Campaigns</w:t>
            </w:r>
          </w:p>
        </w:tc>
        <w:tc>
          <w:tcPr>
            <w:tcW w:w="1540" w:type="dxa"/>
            <w:noWrap/>
            <w:hideMark/>
          </w:tcPr>
          <w:p w14:paraId="793F0DFF" w14:textId="77777777" w:rsidR="00463F89" w:rsidRPr="00463F89" w:rsidRDefault="00463F89">
            <w:pPr>
              <w:rPr>
                <w:b/>
                <w:bCs/>
              </w:rPr>
            </w:pPr>
          </w:p>
        </w:tc>
      </w:tr>
      <w:tr w:rsidR="00463F89" w:rsidRPr="00463F89" w14:paraId="13226A35" w14:textId="77777777" w:rsidTr="00463F89">
        <w:trPr>
          <w:trHeight w:val="312"/>
        </w:trPr>
        <w:tc>
          <w:tcPr>
            <w:tcW w:w="4000" w:type="dxa"/>
            <w:noWrap/>
            <w:hideMark/>
          </w:tcPr>
          <w:p w14:paraId="070E7211" w14:textId="77777777" w:rsidR="00463F89" w:rsidRPr="00463F89" w:rsidRDefault="00463F89">
            <w:r w:rsidRPr="00463F89">
              <w:t>Mean</w:t>
            </w:r>
          </w:p>
        </w:tc>
        <w:tc>
          <w:tcPr>
            <w:tcW w:w="1480" w:type="dxa"/>
            <w:noWrap/>
            <w:hideMark/>
          </w:tcPr>
          <w:p w14:paraId="503AA17C" w14:textId="77777777" w:rsidR="00463F89" w:rsidRPr="00463F89" w:rsidRDefault="00463F89" w:rsidP="00463F89">
            <w:r w:rsidRPr="00463F89">
              <w:t>194.41</w:t>
            </w:r>
          </w:p>
        </w:tc>
        <w:tc>
          <w:tcPr>
            <w:tcW w:w="1060" w:type="dxa"/>
            <w:noWrap/>
            <w:hideMark/>
          </w:tcPr>
          <w:p w14:paraId="7452026D" w14:textId="77777777" w:rsidR="00463F89" w:rsidRPr="00463F89" w:rsidRDefault="00463F89" w:rsidP="00463F89"/>
        </w:tc>
        <w:tc>
          <w:tcPr>
            <w:tcW w:w="2520" w:type="dxa"/>
            <w:noWrap/>
            <w:hideMark/>
          </w:tcPr>
          <w:p w14:paraId="09341234" w14:textId="77777777" w:rsidR="00463F89" w:rsidRPr="00463F89" w:rsidRDefault="00463F89">
            <w:r w:rsidRPr="00463F89">
              <w:t>Mean</w:t>
            </w:r>
          </w:p>
        </w:tc>
        <w:tc>
          <w:tcPr>
            <w:tcW w:w="1540" w:type="dxa"/>
            <w:noWrap/>
            <w:hideMark/>
          </w:tcPr>
          <w:p w14:paraId="2DAAF915" w14:textId="77777777" w:rsidR="00463F89" w:rsidRPr="00463F89" w:rsidRDefault="00463F89" w:rsidP="00463F89">
            <w:r w:rsidRPr="00463F89">
              <w:t>72.52</w:t>
            </w:r>
          </w:p>
        </w:tc>
      </w:tr>
      <w:tr w:rsidR="00463F89" w:rsidRPr="00463F89" w14:paraId="4D14D28B" w14:textId="77777777" w:rsidTr="00463F89">
        <w:trPr>
          <w:trHeight w:val="312"/>
        </w:trPr>
        <w:tc>
          <w:tcPr>
            <w:tcW w:w="4000" w:type="dxa"/>
            <w:noWrap/>
            <w:hideMark/>
          </w:tcPr>
          <w:p w14:paraId="2A5122FC" w14:textId="77777777" w:rsidR="00463F89" w:rsidRPr="00463F89" w:rsidRDefault="00463F89">
            <w:r w:rsidRPr="00463F89">
              <w:t>Median</w:t>
            </w:r>
          </w:p>
        </w:tc>
        <w:tc>
          <w:tcPr>
            <w:tcW w:w="1480" w:type="dxa"/>
            <w:noWrap/>
            <w:hideMark/>
          </w:tcPr>
          <w:p w14:paraId="05B7EC13" w14:textId="77777777" w:rsidR="00463F89" w:rsidRPr="00463F89" w:rsidRDefault="00463F89" w:rsidP="00463F89">
            <w:r w:rsidRPr="00463F89">
              <w:t>168</w:t>
            </w:r>
          </w:p>
        </w:tc>
        <w:tc>
          <w:tcPr>
            <w:tcW w:w="1060" w:type="dxa"/>
            <w:noWrap/>
            <w:hideMark/>
          </w:tcPr>
          <w:p w14:paraId="7BE85629" w14:textId="77777777" w:rsidR="00463F89" w:rsidRPr="00463F89" w:rsidRDefault="00463F89" w:rsidP="00463F89"/>
        </w:tc>
        <w:tc>
          <w:tcPr>
            <w:tcW w:w="2520" w:type="dxa"/>
            <w:noWrap/>
            <w:hideMark/>
          </w:tcPr>
          <w:p w14:paraId="1B3E6B1E" w14:textId="77777777" w:rsidR="00463F89" w:rsidRPr="00463F89" w:rsidRDefault="00463F89">
            <w:r w:rsidRPr="00463F89">
              <w:t>Median</w:t>
            </w:r>
          </w:p>
        </w:tc>
        <w:tc>
          <w:tcPr>
            <w:tcW w:w="1540" w:type="dxa"/>
            <w:noWrap/>
            <w:hideMark/>
          </w:tcPr>
          <w:p w14:paraId="44A01A11" w14:textId="77777777" w:rsidR="00463F89" w:rsidRPr="00463F89" w:rsidRDefault="00463F89" w:rsidP="00463F89">
            <w:r w:rsidRPr="00463F89">
              <w:t>67</w:t>
            </w:r>
          </w:p>
        </w:tc>
      </w:tr>
      <w:tr w:rsidR="00463F89" w:rsidRPr="00463F89" w14:paraId="738E552D" w14:textId="77777777" w:rsidTr="00463F89">
        <w:trPr>
          <w:trHeight w:val="312"/>
        </w:trPr>
        <w:tc>
          <w:tcPr>
            <w:tcW w:w="4000" w:type="dxa"/>
            <w:noWrap/>
            <w:hideMark/>
          </w:tcPr>
          <w:p w14:paraId="32DE0C91" w14:textId="77777777" w:rsidR="00463F89" w:rsidRPr="00463F89" w:rsidRDefault="00463F89">
            <w:r w:rsidRPr="00463F89">
              <w:t xml:space="preserve">Minimum number </w:t>
            </w:r>
          </w:p>
        </w:tc>
        <w:tc>
          <w:tcPr>
            <w:tcW w:w="1480" w:type="dxa"/>
            <w:noWrap/>
            <w:hideMark/>
          </w:tcPr>
          <w:p w14:paraId="0B94EA00" w14:textId="77777777" w:rsidR="00463F89" w:rsidRPr="00463F89" w:rsidRDefault="00463F89" w:rsidP="00463F89">
            <w:r w:rsidRPr="00463F89">
              <w:t>67</w:t>
            </w:r>
          </w:p>
        </w:tc>
        <w:tc>
          <w:tcPr>
            <w:tcW w:w="1060" w:type="dxa"/>
            <w:noWrap/>
            <w:hideMark/>
          </w:tcPr>
          <w:p w14:paraId="6AE1B4E0" w14:textId="77777777" w:rsidR="00463F89" w:rsidRPr="00463F89" w:rsidRDefault="00463F89" w:rsidP="00463F89"/>
        </w:tc>
        <w:tc>
          <w:tcPr>
            <w:tcW w:w="2520" w:type="dxa"/>
            <w:noWrap/>
            <w:hideMark/>
          </w:tcPr>
          <w:p w14:paraId="6FE4DC06" w14:textId="77777777" w:rsidR="00463F89" w:rsidRPr="00463F89" w:rsidRDefault="00463F89">
            <w:r w:rsidRPr="00463F89">
              <w:t>Minimum Number</w:t>
            </w:r>
          </w:p>
        </w:tc>
        <w:tc>
          <w:tcPr>
            <w:tcW w:w="1540" w:type="dxa"/>
            <w:noWrap/>
            <w:hideMark/>
          </w:tcPr>
          <w:p w14:paraId="39D9CCB0" w14:textId="77777777" w:rsidR="00463F89" w:rsidRPr="00463F89" w:rsidRDefault="00463F89" w:rsidP="00463F89">
            <w:r w:rsidRPr="00463F89">
              <w:t>7</w:t>
            </w:r>
          </w:p>
        </w:tc>
      </w:tr>
      <w:tr w:rsidR="00463F89" w:rsidRPr="00463F89" w14:paraId="7369C62E" w14:textId="77777777" w:rsidTr="00463F89">
        <w:trPr>
          <w:trHeight w:val="312"/>
        </w:trPr>
        <w:tc>
          <w:tcPr>
            <w:tcW w:w="4000" w:type="dxa"/>
            <w:noWrap/>
            <w:hideMark/>
          </w:tcPr>
          <w:p w14:paraId="36668600" w14:textId="77777777" w:rsidR="00463F89" w:rsidRPr="00463F89" w:rsidRDefault="00463F89">
            <w:r w:rsidRPr="00463F89">
              <w:t>Maximum Number</w:t>
            </w:r>
          </w:p>
        </w:tc>
        <w:tc>
          <w:tcPr>
            <w:tcW w:w="1480" w:type="dxa"/>
            <w:noWrap/>
            <w:hideMark/>
          </w:tcPr>
          <w:p w14:paraId="162F8226" w14:textId="77777777" w:rsidR="00463F89" w:rsidRPr="00463F89" w:rsidRDefault="00463F89" w:rsidP="00463F89">
            <w:r w:rsidRPr="00463F89">
              <w:t>555</w:t>
            </w:r>
          </w:p>
        </w:tc>
        <w:tc>
          <w:tcPr>
            <w:tcW w:w="1060" w:type="dxa"/>
            <w:noWrap/>
            <w:hideMark/>
          </w:tcPr>
          <w:p w14:paraId="37A09E9B" w14:textId="77777777" w:rsidR="00463F89" w:rsidRPr="00463F89" w:rsidRDefault="00463F89" w:rsidP="00463F89"/>
        </w:tc>
        <w:tc>
          <w:tcPr>
            <w:tcW w:w="2520" w:type="dxa"/>
            <w:noWrap/>
            <w:hideMark/>
          </w:tcPr>
          <w:p w14:paraId="27F17FFE" w14:textId="77777777" w:rsidR="00463F89" w:rsidRPr="00463F89" w:rsidRDefault="00463F89">
            <w:r w:rsidRPr="00463F89">
              <w:t>Maximum Number</w:t>
            </w:r>
          </w:p>
        </w:tc>
        <w:tc>
          <w:tcPr>
            <w:tcW w:w="1540" w:type="dxa"/>
            <w:noWrap/>
            <w:hideMark/>
          </w:tcPr>
          <w:p w14:paraId="76C80B63" w14:textId="77777777" w:rsidR="00463F89" w:rsidRPr="00463F89" w:rsidRDefault="00463F89" w:rsidP="00463F89">
            <w:r w:rsidRPr="00463F89">
              <w:t>226</w:t>
            </w:r>
          </w:p>
        </w:tc>
      </w:tr>
      <w:tr w:rsidR="00463F89" w:rsidRPr="00463F89" w14:paraId="1883C4D5" w14:textId="77777777" w:rsidTr="00463F89">
        <w:trPr>
          <w:trHeight w:val="312"/>
        </w:trPr>
        <w:tc>
          <w:tcPr>
            <w:tcW w:w="4000" w:type="dxa"/>
            <w:noWrap/>
            <w:hideMark/>
          </w:tcPr>
          <w:p w14:paraId="3BE4BE3C" w14:textId="77777777" w:rsidR="00463F89" w:rsidRPr="00463F89" w:rsidRDefault="00463F89">
            <w:r w:rsidRPr="00463F89">
              <w:t>Variance</w:t>
            </w:r>
          </w:p>
        </w:tc>
        <w:tc>
          <w:tcPr>
            <w:tcW w:w="1480" w:type="dxa"/>
            <w:noWrap/>
            <w:hideMark/>
          </w:tcPr>
          <w:p w14:paraId="5162D073" w14:textId="77777777" w:rsidR="00463F89" w:rsidRPr="00463F89" w:rsidRDefault="00463F89" w:rsidP="00463F89">
            <w:r w:rsidRPr="00463F89">
              <w:t>9994.02</w:t>
            </w:r>
          </w:p>
        </w:tc>
        <w:tc>
          <w:tcPr>
            <w:tcW w:w="1060" w:type="dxa"/>
            <w:noWrap/>
            <w:hideMark/>
          </w:tcPr>
          <w:p w14:paraId="56E39EA6" w14:textId="77777777" w:rsidR="00463F89" w:rsidRPr="00463F89" w:rsidRDefault="00463F89" w:rsidP="00463F89"/>
        </w:tc>
        <w:tc>
          <w:tcPr>
            <w:tcW w:w="2520" w:type="dxa"/>
            <w:noWrap/>
            <w:hideMark/>
          </w:tcPr>
          <w:p w14:paraId="754A1C18" w14:textId="77777777" w:rsidR="00463F89" w:rsidRPr="00463F89" w:rsidRDefault="00463F89">
            <w:r w:rsidRPr="00463F89">
              <w:t>Variance</w:t>
            </w:r>
          </w:p>
        </w:tc>
        <w:tc>
          <w:tcPr>
            <w:tcW w:w="1540" w:type="dxa"/>
            <w:noWrap/>
            <w:hideMark/>
          </w:tcPr>
          <w:p w14:paraId="3724C419" w14:textId="77777777" w:rsidR="00463F89" w:rsidRPr="00463F89" w:rsidRDefault="00463F89" w:rsidP="00463F89">
            <w:r w:rsidRPr="00463F89">
              <w:t>1963.28</w:t>
            </w:r>
          </w:p>
        </w:tc>
      </w:tr>
      <w:tr w:rsidR="00463F89" w:rsidRPr="00463F89" w14:paraId="410CBA9D" w14:textId="77777777" w:rsidTr="00463F89">
        <w:trPr>
          <w:trHeight w:val="312"/>
        </w:trPr>
        <w:tc>
          <w:tcPr>
            <w:tcW w:w="4000" w:type="dxa"/>
            <w:noWrap/>
            <w:hideMark/>
          </w:tcPr>
          <w:p w14:paraId="1222D960" w14:textId="77777777" w:rsidR="00463F89" w:rsidRPr="00463F89" w:rsidRDefault="00463F89">
            <w:r w:rsidRPr="00463F89">
              <w:t>Standard Deviation</w:t>
            </w:r>
          </w:p>
        </w:tc>
        <w:tc>
          <w:tcPr>
            <w:tcW w:w="1480" w:type="dxa"/>
            <w:noWrap/>
            <w:hideMark/>
          </w:tcPr>
          <w:p w14:paraId="5DFA01FA" w14:textId="77777777" w:rsidR="00463F89" w:rsidRPr="00463F89" w:rsidRDefault="00463F89" w:rsidP="00463F89">
            <w:r w:rsidRPr="00463F89">
              <w:t>99.97</w:t>
            </w:r>
          </w:p>
        </w:tc>
        <w:tc>
          <w:tcPr>
            <w:tcW w:w="1060" w:type="dxa"/>
            <w:noWrap/>
            <w:hideMark/>
          </w:tcPr>
          <w:p w14:paraId="5B2AC64F" w14:textId="77777777" w:rsidR="00463F89" w:rsidRPr="00463F89" w:rsidRDefault="00463F89" w:rsidP="00463F89"/>
        </w:tc>
        <w:tc>
          <w:tcPr>
            <w:tcW w:w="2520" w:type="dxa"/>
            <w:noWrap/>
            <w:hideMark/>
          </w:tcPr>
          <w:p w14:paraId="1306B385" w14:textId="77777777" w:rsidR="00463F89" w:rsidRPr="00463F89" w:rsidRDefault="00463F89">
            <w:r w:rsidRPr="00463F89">
              <w:t>Standard Deviation</w:t>
            </w:r>
          </w:p>
        </w:tc>
        <w:tc>
          <w:tcPr>
            <w:tcW w:w="1540" w:type="dxa"/>
            <w:noWrap/>
            <w:hideMark/>
          </w:tcPr>
          <w:p w14:paraId="0321C199" w14:textId="77777777" w:rsidR="00463F89" w:rsidRPr="00463F89" w:rsidRDefault="00463F89" w:rsidP="00463F89">
            <w:r w:rsidRPr="00463F89">
              <w:t>44.31</w:t>
            </w:r>
          </w:p>
        </w:tc>
      </w:tr>
    </w:tbl>
    <w:p w14:paraId="56D6DAE2" w14:textId="77777777" w:rsidR="00463F89" w:rsidRDefault="00463F89"/>
    <w:p w14:paraId="3238591D" w14:textId="5F61F082" w:rsidR="00463F89" w:rsidRDefault="00463F89" w:rsidP="00463F89">
      <w:r>
        <w:t xml:space="preserve">2. </w:t>
      </w:r>
      <w:r w:rsidR="00D90A9D" w:rsidRPr="00D90A9D">
        <w:t xml:space="preserve">We'll analyze </w:t>
      </w:r>
      <w:r w:rsidR="00D90A9D">
        <w:t xml:space="preserve">by </w:t>
      </w:r>
      <w:r w:rsidR="00D90A9D" w:rsidRPr="00D90A9D">
        <w:t xml:space="preserve">the </w:t>
      </w:r>
      <w:r w:rsidR="00D90A9D">
        <w:t>above</w:t>
      </w:r>
      <w:r w:rsidR="00D90A9D" w:rsidRPr="00D90A9D">
        <w:t xml:space="preserve"> data for both successful and unsuccessful campaigns to see if the mean or the median more accurately captures the data. We'll think about several things:</w:t>
      </w:r>
      <w:r w:rsidR="00D90A9D" w:rsidRPr="00D90A9D">
        <w:br/>
        <w:t>A comparison between the median and the mean</w:t>
      </w:r>
      <w:r w:rsidR="00D90A9D" w:rsidRPr="00D90A9D">
        <w:br/>
        <w:t>Skewedness is present</w:t>
      </w:r>
      <w:r w:rsidR="00D90A9D" w:rsidRPr="00D90A9D">
        <w:br/>
        <w:t>Possible anomalies</w:t>
      </w:r>
      <w:r w:rsidR="00D90A9D" w:rsidRPr="00D90A9D">
        <w:br/>
        <w:t>Variety of data</w:t>
      </w:r>
      <w:r w:rsidR="00D90A9D" w:rsidRPr="00D90A9D">
        <w:br/>
      </w:r>
    </w:p>
    <w:p w14:paraId="07F70705" w14:textId="5F1AE10F" w:rsidR="0031119F" w:rsidRDefault="0031119F" w:rsidP="00463F89">
      <w:r>
        <w:t>1.</w:t>
      </w:r>
      <w:r w:rsidRPr="0031119F">
        <w:t>In the case of successful campaigns, the data is probably better summarized by the median (168). The high highest value and the significant disparity between mean and median imply that some particularly effective efforts are pushing the mean upward. These outliers have less of an impact on the median, which most likely indicates a more usual campaign outcome.</w:t>
      </w:r>
    </w:p>
    <w:p w14:paraId="402645D9" w14:textId="3E1E1354" w:rsidR="0031119F" w:rsidRDefault="0031119F" w:rsidP="00463F89">
      <w:r w:rsidRPr="0031119F">
        <w:t>2. The decision is less obvious in the case of unsuccessful campaigns. There is greater correspondence between the mean (72.52) and median (67), suggesting a more symmetrical distribution. Although either might be utilized, the median may still be better because it is less impacted by any outliers and the skew.</w:t>
      </w:r>
    </w:p>
    <w:p w14:paraId="6AAE1715" w14:textId="151EA2CA" w:rsidR="00463F89" w:rsidRDefault="0031119F" w:rsidP="00463F89">
      <w:r w:rsidRPr="0031119F">
        <w:t>In conclusion, presenting both the mean and the median would result in the most illuminating summary of these datasets, even if the median is probably the superior single summary statistic.</w:t>
      </w:r>
    </w:p>
    <w:p w14:paraId="458CDB92" w14:textId="77777777" w:rsidR="00463F89" w:rsidRDefault="00463F89" w:rsidP="00463F89"/>
    <w:p w14:paraId="1EA337E9" w14:textId="77777777" w:rsidR="00463F89" w:rsidRDefault="00463F89" w:rsidP="00463F89"/>
    <w:p w14:paraId="2547F847" w14:textId="77777777" w:rsidR="00463F89" w:rsidRDefault="00463F89" w:rsidP="00463F89"/>
    <w:p w14:paraId="6031216C" w14:textId="77777777" w:rsidR="00D90A9D" w:rsidRDefault="00D90A9D" w:rsidP="00463F89"/>
    <w:p w14:paraId="78E7D2BF" w14:textId="0BE4B645" w:rsidR="00463F89" w:rsidRPr="00463F89" w:rsidRDefault="00463F89" w:rsidP="00463F89">
      <w:r>
        <w:lastRenderedPageBreak/>
        <w:t xml:space="preserve">3. </w:t>
      </w:r>
      <w:r w:rsidRPr="00463F89">
        <w:t>To determine if there is more variability with successful or unsuccessful campaigns, we'll compare the measures of variability provided in the data. The key measures of variability here are variance and standard deviation.</w:t>
      </w:r>
    </w:p>
    <w:p w14:paraId="708CCEFD" w14:textId="77777777" w:rsidR="00463F89" w:rsidRPr="00463F89" w:rsidRDefault="00463F89" w:rsidP="00463F89">
      <w:r w:rsidRPr="00463F89">
        <w:t>Successful Campaigns: Variance: 9994.02 Standard Deviation: 99.97</w:t>
      </w:r>
    </w:p>
    <w:p w14:paraId="4DCCB2E4" w14:textId="0457329B" w:rsidR="00463F89" w:rsidRDefault="00463F89" w:rsidP="00463F89">
      <w:r w:rsidRPr="00463F89">
        <w:t>Unsuccessful Campaigns: Variance: 1963.28 Standard Deviation: 44.31</w:t>
      </w:r>
    </w:p>
    <w:p w14:paraId="23CCBE88" w14:textId="40F7B303" w:rsidR="00463F89" w:rsidRDefault="00463F89" w:rsidP="00463F89">
      <w:r>
        <w:t>Comparing these figures:</w:t>
      </w:r>
    </w:p>
    <w:p w14:paraId="00B63230" w14:textId="77777777" w:rsidR="00463F89" w:rsidRDefault="00463F89" w:rsidP="00463F89">
      <w:r>
        <w:t>1. There is a significant difference between the variance of successful campaigns (9994.02) and unsuccessful efforts (1963.28).</w:t>
      </w:r>
    </w:p>
    <w:p w14:paraId="68B0198D" w14:textId="77777777" w:rsidR="00463F89" w:rsidRDefault="00463F89" w:rsidP="00463F89">
      <w:r>
        <w:t>2. Moreover, the successful campaigns' standard deviation (99.97) is higher than the unsuccessful campaigns' standard deviation (44.31).</w:t>
      </w:r>
    </w:p>
    <w:p w14:paraId="46D12651" w14:textId="77777777" w:rsidR="00463F89" w:rsidRDefault="00463F89" w:rsidP="00463F89"/>
    <w:p w14:paraId="60B7CC89" w14:textId="77777777" w:rsidR="00463F89" w:rsidRDefault="00463F89" w:rsidP="00463F89">
      <w:r>
        <w:t>The standard deviation and variance both quantify how far out from the mean the data are. There is greater variety in the data set when the value is higher.</w:t>
      </w:r>
    </w:p>
    <w:p w14:paraId="062E9F2E" w14:textId="77777777" w:rsidR="00463F89" w:rsidRDefault="00463F89" w:rsidP="00463F89"/>
    <w:p w14:paraId="459D6168" w14:textId="77777777" w:rsidR="00463F89" w:rsidRDefault="00463F89" w:rsidP="00463F89">
      <w:r>
        <w:t>We can infer from this data that initiatives that are effective exhibit greater variety than those that are unsuccessful.</w:t>
      </w:r>
    </w:p>
    <w:p w14:paraId="41AEA760" w14:textId="77777777" w:rsidR="00463F89" w:rsidRDefault="00463F89" w:rsidP="00463F89"/>
    <w:p w14:paraId="6457EA7C" w14:textId="77777777" w:rsidR="00463F89" w:rsidRDefault="00463F89" w:rsidP="00463F89">
      <w:r>
        <w:t xml:space="preserve">This is reasonable for </w:t>
      </w:r>
      <w:proofErr w:type="gramStart"/>
      <w:r>
        <w:t>a number of</w:t>
      </w:r>
      <w:proofErr w:type="gramEnd"/>
      <w:r>
        <w:t xml:space="preserve"> reasons:</w:t>
      </w:r>
    </w:p>
    <w:p w14:paraId="1BCB845F" w14:textId="77777777" w:rsidR="00463F89" w:rsidRDefault="00463F89" w:rsidP="00463F89"/>
    <w:p w14:paraId="69A1E482" w14:textId="77777777" w:rsidR="00463F89" w:rsidRDefault="00463F89" w:rsidP="00463F89">
      <w:r>
        <w:t>1. Range: Successful campaigns have a wider range (difference between highest and minimum values) (555 - 67 = 488) than do unsuccessful efforts (226 - 7 = 219). This implies a larger distribution of data for efforts that are successful.</w:t>
      </w:r>
    </w:p>
    <w:p w14:paraId="02C851AE" w14:textId="77777777" w:rsidR="00463F89" w:rsidRDefault="00463F89" w:rsidP="00463F89"/>
    <w:p w14:paraId="59F23CC0" w14:textId="77777777" w:rsidR="00463F89" w:rsidRDefault="00463F89" w:rsidP="00463F89">
      <w:r>
        <w:t xml:space="preserve">2. Success criteria: Campaigns that are effective may This makes sense for </w:t>
      </w:r>
      <w:proofErr w:type="gramStart"/>
      <w:r>
        <w:t>a number of</w:t>
      </w:r>
      <w:proofErr w:type="gramEnd"/>
      <w:r>
        <w:t xml:space="preserve"> reasons: more diverse outcomes due to a greater range of techniques, financing levels, and supporter bases.</w:t>
      </w:r>
    </w:p>
    <w:p w14:paraId="5F3C8170" w14:textId="3D1188F7" w:rsidR="00463F89" w:rsidRDefault="00463F89" w:rsidP="00463F89">
      <w:r>
        <w:t>3. Growth potential: While failing campaigns could perform more constrainedly, successful campaigns have greater opportunity to surpass expectations.</w:t>
      </w:r>
    </w:p>
    <w:sectPr w:rsidR="00463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89"/>
    <w:rsid w:val="0031119F"/>
    <w:rsid w:val="00463F89"/>
    <w:rsid w:val="00D90A9D"/>
    <w:rsid w:val="00EF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6427"/>
  <w15:chartTrackingRefBased/>
  <w15:docId w15:val="{801A9A65-FF20-496F-B4F0-19981166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89"/>
    <w:rPr>
      <w:rFonts w:eastAsiaTheme="majorEastAsia" w:cstheme="majorBidi"/>
      <w:color w:val="272727" w:themeColor="text1" w:themeTint="D8"/>
    </w:rPr>
  </w:style>
  <w:style w:type="paragraph" w:styleId="Title">
    <w:name w:val="Title"/>
    <w:basedOn w:val="Normal"/>
    <w:next w:val="Normal"/>
    <w:link w:val="TitleChar"/>
    <w:uiPriority w:val="10"/>
    <w:qFormat/>
    <w:rsid w:val="00463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89"/>
    <w:pPr>
      <w:spacing w:before="160"/>
      <w:jc w:val="center"/>
    </w:pPr>
    <w:rPr>
      <w:i/>
      <w:iCs/>
      <w:color w:val="404040" w:themeColor="text1" w:themeTint="BF"/>
    </w:rPr>
  </w:style>
  <w:style w:type="character" w:customStyle="1" w:styleId="QuoteChar">
    <w:name w:val="Quote Char"/>
    <w:basedOn w:val="DefaultParagraphFont"/>
    <w:link w:val="Quote"/>
    <w:uiPriority w:val="29"/>
    <w:rsid w:val="00463F89"/>
    <w:rPr>
      <w:i/>
      <w:iCs/>
      <w:color w:val="404040" w:themeColor="text1" w:themeTint="BF"/>
    </w:rPr>
  </w:style>
  <w:style w:type="paragraph" w:styleId="ListParagraph">
    <w:name w:val="List Paragraph"/>
    <w:basedOn w:val="Normal"/>
    <w:uiPriority w:val="34"/>
    <w:qFormat/>
    <w:rsid w:val="00463F89"/>
    <w:pPr>
      <w:ind w:left="720"/>
      <w:contextualSpacing/>
    </w:pPr>
  </w:style>
  <w:style w:type="character" w:styleId="IntenseEmphasis">
    <w:name w:val="Intense Emphasis"/>
    <w:basedOn w:val="DefaultParagraphFont"/>
    <w:uiPriority w:val="21"/>
    <w:qFormat/>
    <w:rsid w:val="00463F89"/>
    <w:rPr>
      <w:i/>
      <w:iCs/>
      <w:color w:val="0F4761" w:themeColor="accent1" w:themeShade="BF"/>
    </w:rPr>
  </w:style>
  <w:style w:type="paragraph" w:styleId="IntenseQuote">
    <w:name w:val="Intense Quote"/>
    <w:basedOn w:val="Normal"/>
    <w:next w:val="Normal"/>
    <w:link w:val="IntenseQuoteChar"/>
    <w:uiPriority w:val="30"/>
    <w:qFormat/>
    <w:rsid w:val="00463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89"/>
    <w:rPr>
      <w:i/>
      <w:iCs/>
      <w:color w:val="0F4761" w:themeColor="accent1" w:themeShade="BF"/>
    </w:rPr>
  </w:style>
  <w:style w:type="character" w:styleId="IntenseReference">
    <w:name w:val="Intense Reference"/>
    <w:basedOn w:val="DefaultParagraphFont"/>
    <w:uiPriority w:val="32"/>
    <w:qFormat/>
    <w:rsid w:val="00463F89"/>
    <w:rPr>
      <w:b/>
      <w:bCs/>
      <w:smallCaps/>
      <w:color w:val="0F4761" w:themeColor="accent1" w:themeShade="BF"/>
      <w:spacing w:val="5"/>
    </w:rPr>
  </w:style>
  <w:style w:type="table" w:styleId="TableGrid">
    <w:name w:val="Table Grid"/>
    <w:basedOn w:val="TableNormal"/>
    <w:uiPriority w:val="39"/>
    <w:rsid w:val="0046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921201">
      <w:bodyDiv w:val="1"/>
      <w:marLeft w:val="0"/>
      <w:marRight w:val="0"/>
      <w:marTop w:val="0"/>
      <w:marBottom w:val="0"/>
      <w:divBdr>
        <w:top w:val="none" w:sz="0" w:space="0" w:color="auto"/>
        <w:left w:val="none" w:sz="0" w:space="0" w:color="auto"/>
        <w:bottom w:val="none" w:sz="0" w:space="0" w:color="auto"/>
        <w:right w:val="none" w:sz="0" w:space="0" w:color="auto"/>
      </w:divBdr>
    </w:div>
    <w:div w:id="640888021">
      <w:bodyDiv w:val="1"/>
      <w:marLeft w:val="0"/>
      <w:marRight w:val="0"/>
      <w:marTop w:val="0"/>
      <w:marBottom w:val="0"/>
      <w:divBdr>
        <w:top w:val="none" w:sz="0" w:space="0" w:color="auto"/>
        <w:left w:val="none" w:sz="0" w:space="0" w:color="auto"/>
        <w:bottom w:val="none" w:sz="0" w:space="0" w:color="auto"/>
        <w:right w:val="none" w:sz="0" w:space="0" w:color="auto"/>
      </w:divBdr>
    </w:div>
    <w:div w:id="1178545881">
      <w:bodyDiv w:val="1"/>
      <w:marLeft w:val="0"/>
      <w:marRight w:val="0"/>
      <w:marTop w:val="0"/>
      <w:marBottom w:val="0"/>
      <w:divBdr>
        <w:top w:val="none" w:sz="0" w:space="0" w:color="auto"/>
        <w:left w:val="none" w:sz="0" w:space="0" w:color="auto"/>
        <w:bottom w:val="none" w:sz="0" w:space="0" w:color="auto"/>
        <w:right w:val="none" w:sz="0" w:space="0" w:color="auto"/>
      </w:divBdr>
    </w:div>
    <w:div w:id="1355882001">
      <w:bodyDiv w:val="1"/>
      <w:marLeft w:val="0"/>
      <w:marRight w:val="0"/>
      <w:marTop w:val="0"/>
      <w:marBottom w:val="0"/>
      <w:divBdr>
        <w:top w:val="none" w:sz="0" w:space="0" w:color="auto"/>
        <w:left w:val="none" w:sz="0" w:space="0" w:color="auto"/>
        <w:bottom w:val="none" w:sz="0" w:space="0" w:color="auto"/>
        <w:right w:val="none" w:sz="0" w:space="0" w:color="auto"/>
      </w:divBdr>
    </w:div>
    <w:div w:id="1437795621">
      <w:bodyDiv w:val="1"/>
      <w:marLeft w:val="0"/>
      <w:marRight w:val="0"/>
      <w:marTop w:val="0"/>
      <w:marBottom w:val="0"/>
      <w:divBdr>
        <w:top w:val="none" w:sz="0" w:space="0" w:color="auto"/>
        <w:left w:val="none" w:sz="0" w:space="0" w:color="auto"/>
        <w:bottom w:val="none" w:sz="0" w:space="0" w:color="auto"/>
        <w:right w:val="none" w:sz="0" w:space="0" w:color="auto"/>
      </w:divBdr>
    </w:div>
    <w:div w:id="1712606603">
      <w:bodyDiv w:val="1"/>
      <w:marLeft w:val="0"/>
      <w:marRight w:val="0"/>
      <w:marTop w:val="0"/>
      <w:marBottom w:val="0"/>
      <w:divBdr>
        <w:top w:val="none" w:sz="0" w:space="0" w:color="auto"/>
        <w:left w:val="none" w:sz="0" w:space="0" w:color="auto"/>
        <w:bottom w:val="none" w:sz="0" w:space="0" w:color="auto"/>
        <w:right w:val="none" w:sz="0" w:space="0" w:color="auto"/>
      </w:divBdr>
    </w:div>
    <w:div w:id="1907570806">
      <w:bodyDiv w:val="1"/>
      <w:marLeft w:val="0"/>
      <w:marRight w:val="0"/>
      <w:marTop w:val="0"/>
      <w:marBottom w:val="0"/>
      <w:divBdr>
        <w:top w:val="none" w:sz="0" w:space="0" w:color="auto"/>
        <w:left w:val="none" w:sz="0" w:space="0" w:color="auto"/>
        <w:bottom w:val="none" w:sz="0" w:space="0" w:color="auto"/>
        <w:right w:val="none" w:sz="0" w:space="0" w:color="auto"/>
      </w:divBdr>
    </w:div>
    <w:div w:id="208922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Pampati</dc:creator>
  <cp:keywords/>
  <dc:description/>
  <cp:lastModifiedBy>Shalini Pampati</cp:lastModifiedBy>
  <cp:revision>1</cp:revision>
  <dcterms:created xsi:type="dcterms:W3CDTF">2024-08-08T05:51:00Z</dcterms:created>
  <dcterms:modified xsi:type="dcterms:W3CDTF">2024-08-08T06:17:00Z</dcterms:modified>
</cp:coreProperties>
</file>