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1F27F" w14:textId="092B9F67" w:rsidR="00566B07" w:rsidRDefault="00483DB4">
      <w:r>
        <w:t>BETA LACTAM PAPER DRAFT</w:t>
      </w:r>
    </w:p>
    <w:p w14:paraId="2B7DA3B3" w14:textId="5CDE2142" w:rsidR="00483DB4" w:rsidRDefault="00483DB4">
      <w:r w:rsidRPr="00483DB4">
        <w:rPr>
          <w:highlight w:val="yellow"/>
        </w:rPr>
        <w:t>INTRODUCTION</w:t>
      </w:r>
    </w:p>
    <w:p w14:paraId="6C29A590" w14:textId="3047DFDE" w:rsidR="00483DB4" w:rsidRPr="00483DB4" w:rsidRDefault="00483DB4" w:rsidP="00483DB4">
      <w:r w:rsidRPr="00483DB4">
        <w:t>Group A Streptococcus</w:t>
      </w:r>
      <w:r w:rsidR="000C5095">
        <w:t>(GAS)</w:t>
      </w:r>
      <w:r w:rsidRPr="00483DB4">
        <w:t xml:space="preserve"> is a significant human pathogen that worldwide falls within the top 10 infectious causes of human mortality with an estimated 700 million infections and close to 520,000 deaths per year</w:t>
      </w:r>
      <w:r w:rsidR="000C5095">
        <w:t xml:space="preserve">[3]. </w:t>
      </w:r>
      <w:r w:rsidRPr="00483DB4">
        <w:rPr>
          <w:i/>
          <w:iCs/>
        </w:rPr>
        <w:t>Streptococcus pyogenes</w:t>
      </w:r>
      <w:r w:rsidRPr="00483DB4">
        <w:t xml:space="preserve"> </w:t>
      </w:r>
      <w:r w:rsidR="000C5095">
        <w:t xml:space="preserve">a </w:t>
      </w:r>
      <w:r w:rsidR="000C5095" w:rsidRPr="00483DB4">
        <w:t xml:space="preserve">Group A Streptococcus </w:t>
      </w:r>
      <w:r w:rsidRPr="00483DB4">
        <w:t>is the leading cause of bacterial pharyngitis, strep throat, and follicular tonsillitis, and is responsible for a large proportion of antibiotic prescriptions issued annually, particularly in pediatric populations.</w:t>
      </w:r>
    </w:p>
    <w:p w14:paraId="34A790BA" w14:textId="70689776" w:rsidR="00CD0808" w:rsidRPr="00CD0808" w:rsidRDefault="00CD0808" w:rsidP="00CD0808">
      <w:r w:rsidRPr="00CD0808">
        <w:t xml:space="preserve">For decades, generations of medical professionals were taught that </w:t>
      </w:r>
      <w:r w:rsidRPr="00CD0808">
        <w:rPr>
          <w:i/>
          <w:iCs/>
        </w:rPr>
        <w:t>Streptococcus pyogenes</w:t>
      </w:r>
      <w:r w:rsidRPr="00CD0808">
        <w:t xml:space="preserve"> (Group A Streptococcus, or GAS) is universally susceptible to penicillin and related $\beta$-lactam antibiotics</w:t>
      </w:r>
      <w:r w:rsidR="00912B18">
        <w:t xml:space="preserve"> </w:t>
      </w:r>
      <w:r>
        <w:t>[2].</w:t>
      </w:r>
      <w:r w:rsidRPr="00CD0808">
        <w:t xml:space="preserve"> Unlike most clinically significant Gram-positive pathogens, GAS has historically maintained this vulnerability despite extensive antibiotic exposure, </w:t>
      </w:r>
      <w:r w:rsidR="00440E95">
        <w:t>due to core genomic limitations or limited mechanisms for horizontal gene transfer [4]</w:t>
      </w:r>
      <w:r w:rsidRPr="00CD0808">
        <w:t xml:space="preserve">. However, this long-held clinical axiom began to shift with the discovery of strains carrying mutations in </w:t>
      </w:r>
      <w:r w:rsidRPr="00CD0808">
        <w:rPr>
          <w:i/>
          <w:iCs/>
        </w:rPr>
        <w:t>pbp2x</w:t>
      </w:r>
      <w:r w:rsidRPr="00CD0808">
        <w:t>, the gene encoding Penicillin-Binding Protein 2x</w:t>
      </w:r>
      <w:r w:rsidR="00440E95">
        <w:t xml:space="preserve">, </w:t>
      </w:r>
      <w:r w:rsidRPr="00CD0808">
        <w:t xml:space="preserve">the direct molecular target of $\beta$-lactams. </w:t>
      </w:r>
      <w:proofErr w:type="spellStart"/>
      <w:r w:rsidR="00484D97">
        <w:t>Vannice</w:t>
      </w:r>
      <w:proofErr w:type="spellEnd"/>
      <w:r w:rsidR="00484D97">
        <w:t xml:space="preserve"> et al. reported two isolates collected from invasive infections in Washington state in 2017 and 2018 with elevated minimum inhibitory concentrations (MICs) to ampicillin and amoxicillin. </w:t>
      </w:r>
      <w:r w:rsidR="00426E6C" w:rsidRPr="00426E6C">
        <w:t>Recent evidence from pediatric patients in four cities within the United States (Chicago, IL; Portland, OR; Atlanta, GA; Phoenix, AZ) from 2020 to 2023 (Lurie Children's Hospital Institutional Review Board #2019-2852) documented active circulation of PBP2x variants associated with reduced β-lactam susceptibility among pediatric pharyngitis patients</w:t>
      </w:r>
      <w:r w:rsidR="00426E6C">
        <w:t xml:space="preserve"> [5]</w:t>
      </w:r>
      <w:r w:rsidR="00426E6C" w:rsidRPr="00426E6C">
        <w:t>.</w:t>
      </w:r>
    </w:p>
    <w:p w14:paraId="0DF6966F" w14:textId="0BE91F64" w:rsidR="009A2587" w:rsidRPr="009A2587" w:rsidRDefault="009A2587" w:rsidP="009A2587">
      <w:r w:rsidRPr="009A2587">
        <w:t>Machine learning can serve as an approach to predict the antimicrobial susceptibility based on genomic information and eliminate the necessity of conducting the lengthy phenotypic testing. For instance, for the \</w:t>
      </w:r>
      <w:proofErr w:type="spellStart"/>
      <w:r w:rsidRPr="009A2587">
        <w:t>textit</w:t>
      </w:r>
      <w:proofErr w:type="spellEnd"/>
      <w:r w:rsidRPr="009A2587">
        <w:t>{Streptococcus pneumoniae} strains, the PBP transpeptidase genes as well as the supervised machine-learning models based on the \</w:t>
      </w:r>
      <w:proofErr w:type="spellStart"/>
      <w:r w:rsidRPr="009A2587">
        <w:t>textit</w:t>
      </w:r>
      <w:proofErr w:type="spellEnd"/>
      <w:r w:rsidRPr="009A2587">
        <w:t>{pbp2x} and \</w:t>
      </w:r>
      <w:proofErr w:type="spellStart"/>
      <w:r w:rsidRPr="009A2587">
        <w:t>textit</w:t>
      </w:r>
      <w:proofErr w:type="spellEnd"/>
      <w:r w:rsidRPr="009A2587">
        <w:t xml:space="preserve">{pbp2b} genes have been used to predict the $\beta$-lactam MICs and resistance phenotype \cite{ref11,ref13}. It has been shown that the choice of feature representation and machine-learning algorithms significantly affects the performance \cite{ref12}. However, generalizing the predictions to previously unseen genotypes remain a challenging task in the field of genomic prediction of antimicrobial resistance \cite{ref14}. Although machine learning has been applied to other GAS genotype--phenotype problems, including virulence prediction \cite{ref16}, </w:t>
      </w:r>
      <w:r>
        <w:t>it has not</w:t>
      </w:r>
      <w:r w:rsidRPr="009A2587">
        <w:t xml:space="preserve"> specifically addressed \</w:t>
      </w:r>
      <w:proofErr w:type="spellStart"/>
      <w:r w:rsidRPr="009A2587">
        <w:t>textit</w:t>
      </w:r>
      <w:proofErr w:type="spellEnd"/>
      <w:r w:rsidRPr="009A2587">
        <w:t>{pbp2x}-mediated reduced $\beta$-lactam susceptibility in \</w:t>
      </w:r>
      <w:proofErr w:type="spellStart"/>
      <w:r w:rsidRPr="009A2587">
        <w:t>textit</w:t>
      </w:r>
      <w:proofErr w:type="spellEnd"/>
      <w:r w:rsidRPr="009A2587">
        <w:t xml:space="preserve">{S. pyogenes}. </w:t>
      </w:r>
    </w:p>
    <w:p w14:paraId="6A648B32" w14:textId="47F5E196" w:rsidR="009A2587" w:rsidRPr="009A2587" w:rsidRDefault="009A2587" w:rsidP="009A2587">
      <w:r w:rsidRPr="009A2587">
        <w:lastRenderedPageBreak/>
        <w:t>This study addresses that gap by using seven PBP2x hotspot features and an Isolation Forest anomaly-detection model to identify deviations from the consensus wild-type sequence, including mutation combinations not observed during model training.</w:t>
      </w:r>
    </w:p>
    <w:p w14:paraId="227507ED" w14:textId="2E3CF8A6" w:rsidR="004D5EF4" w:rsidRPr="004D5EF4" w:rsidRDefault="004D5EF4" w:rsidP="004D5EF4">
      <w:r w:rsidRPr="004D5EF4">
        <w:rPr>
          <w:highlight w:val="yellow"/>
        </w:rPr>
        <w:t>LITERATURE REVIEW</w:t>
      </w:r>
    </w:p>
    <w:p w14:paraId="30EC58EF" w14:textId="77777777" w:rsidR="00883A10" w:rsidRPr="00883A10" w:rsidRDefault="00883A10" w:rsidP="00883A10">
      <w:r w:rsidRPr="00883A10">
        <w:t xml:space="preserve">Reduced β-lactam susceptibility in Streptococcus pyogenes (GAS) was first documented only recently, and the mutation has been traced to alterations in penicillin-binding protein 2x (PBP2x), the direct molecular target of β-lactam antibiotics. </w:t>
      </w:r>
      <w:proofErr w:type="spellStart"/>
      <w:r w:rsidRPr="00883A10">
        <w:t>Vannice</w:t>
      </w:r>
      <w:proofErr w:type="spellEnd"/>
      <w:r w:rsidRPr="00883A10">
        <w:t xml:space="preserve"> et al. reported the first confirmed case: a pbp2x T553K mutation identified in two epidemiologically linked isolates of the rare emm43.4 lineage, collected from invasive infections in Washington State, with elevated minimum inhibitory concentrations (MICs) to ampicillin, amoxicillin, and cefotaxime relative to near-isogenic controls [2]. Motivated by this finding, Musser et al. screened a much larger collection of 7,025 genomes, restricted to three high-prevalence lineages (emm1, emm28, and emm89), and identified 137 strains carrying 37 distinct pbp2x mutations across 36 codons. This larger screen demonstrated that PBP2x-mediated reduced susceptibility recurs independently across genetically distinct GAS backgrounds and geographic locations, rather than being confined to a single rare lineage or isolated event [1].</w:t>
      </w:r>
    </w:p>
    <w:p w14:paraId="761C92B3" w14:textId="77777777" w:rsidR="00883A10" w:rsidRDefault="00883A10" w:rsidP="00883A10">
      <w:r w:rsidRPr="00883A10">
        <w:t xml:space="preserve">Subsequent surveillance work confirmed that this phenomenon is neither a single outbreak nor a geographically isolated occurrence. </w:t>
      </w:r>
      <w:proofErr w:type="spellStart"/>
      <w:r w:rsidRPr="00883A10">
        <w:t>Southon</w:t>
      </w:r>
      <w:proofErr w:type="spellEnd"/>
      <w:r w:rsidRPr="00883A10">
        <w:t xml:space="preserve"> et al. documented a related pbp2x mutation within a large, clonally related population of macrolide-resistant GAS isolates collected in Iceland between 1995 and 2016 [3], and </w:t>
      </w:r>
      <w:proofErr w:type="spellStart"/>
      <w:r w:rsidRPr="00883A10">
        <w:t>Chochua</w:t>
      </w:r>
      <w:proofErr w:type="spellEnd"/>
      <w:r w:rsidRPr="00883A10">
        <w:t xml:space="preserve"> et al. extended genomic surveillance across a broader set of invasive GAS isolates collected in the United States between 2015 and 2021, confirming continued circulation of PBP2x variants associated with reduced susceptibility [4]. Most recently, </w:t>
      </w:r>
      <w:proofErr w:type="spellStart"/>
      <w:r w:rsidRPr="00883A10">
        <w:t>Amusin</w:t>
      </w:r>
      <w:proofErr w:type="spellEnd"/>
      <w:r w:rsidRPr="00883A10">
        <w:t xml:space="preserve"> et al. screened 902 pharyngeal GAS isolates collected from pediatric patients with symptomatic pharyngitis across four United States cities (Chicago, IL; Portland, OR; Atlanta, GA; and Phoenix, AZ) between 2020 and 2023, identifying 25 isolates carrying one of four PBP2x variants associated with reduced β-lactam susceptibility; this pharyngitis-derived cohort forms the dataset used in the present study [5]. </w:t>
      </w:r>
      <w:proofErr w:type="spellStart"/>
      <w:r w:rsidRPr="00883A10">
        <w:t>Kalladeen</w:t>
      </w:r>
      <w:proofErr w:type="spellEnd"/>
      <w:r w:rsidRPr="00883A10">
        <w:t xml:space="preserve"> et al. reported similar findings in Guyana, confirming that circulation of these variants is not restricted to the United States [6].</w:t>
      </w:r>
    </w:p>
    <w:p w14:paraId="0B67563E" w14:textId="72FF2C8B" w:rsidR="003E27A0" w:rsidRDefault="003E27A0" w:rsidP="00883A10">
      <w:r w:rsidRPr="003E27A0">
        <w:t xml:space="preserve">Machine learning approaches have shown substantial promise in predicting β-lactam resistance in S. pneumoniae, which shares the same underlying mechanism of resistance as GAS, i.e., alteration of the sequence of penicillin-binding proteins instead of acquisition of the resistant gene. In fact, the starting point in this direction of research has been provided by Li et al. who demonstrated that the sequence signatures of the transpeptidase domain of penicillin-binding proteins could predict MIC values with over 94% categorical </w:t>
      </w:r>
      <w:r w:rsidRPr="003E27A0">
        <w:lastRenderedPageBreak/>
        <w:t>agreement without performing phenotypic susceptibility test [9]. On the other hand, Zhang et al. went from statistical approach of signature matching to full machine learning approach, applying different classifiers on the sequences of pbp2x and pbp2b, in order to predict the phenotype of β-lactam resistance, and concluding that the way genomic sequence information was used as classifier inputs had a great impact on classification accuracy [7]. Following up on this, Kaya et al. compared nucleotide k-</w:t>
      </w:r>
      <w:proofErr w:type="spellStart"/>
      <w:r w:rsidRPr="003E27A0">
        <w:t>mer</w:t>
      </w:r>
      <w:proofErr w:type="spellEnd"/>
      <w:r w:rsidRPr="003E27A0">
        <w:t>, amino-acid k-</w:t>
      </w:r>
      <w:proofErr w:type="spellStart"/>
      <w:r w:rsidRPr="003E27A0">
        <w:t>mer</w:t>
      </w:r>
      <w:proofErr w:type="spellEnd"/>
      <w:r w:rsidRPr="003E27A0">
        <w:t>, and SNP representations of genomic sequences and showed that the choice of input features had a major impact on predictive accuracy [8].</w:t>
      </w:r>
    </w:p>
    <w:p w14:paraId="7B638FEE" w14:textId="1C12D2E8" w:rsidR="003E27A0" w:rsidRDefault="00594081" w:rsidP="00883A10">
      <w:r w:rsidRPr="00594081">
        <w:t xml:space="preserve">An additional research strand of this literature that has been concerned, not with the maximization of predictive accuracy, but with the critique of its measurement, has shown that using standard random cross-validation to evaluate computational AMR phenotype predictors significantly overestimates generalization performance in the case of genomic datasets with closely related sequences; therefore, a more accurate estimation requires the use of phylogeny/homology-based partitions for training and testing [10]. The finding is directly applicable to other types of genomic AMR prediction task, including this particular case, since the amount of different mutation combinations in the dataset is smaller than the amount of isolates. There have been very few applications of machine learning in GAS: Buckley and Harvey used Random Forest framework in predicting genotype–phenotype associations in GAS, although they addressed virulence/clinical traits prediction, rather than AMR prediction [15]. In their study, </w:t>
      </w:r>
      <w:proofErr w:type="spellStart"/>
      <w:r w:rsidRPr="00594081">
        <w:t>Panickar</w:t>
      </w:r>
      <w:proofErr w:type="spellEnd"/>
      <w:r w:rsidRPr="00594081">
        <w:t xml:space="preserve"> et al. used machine learning-based virtual screening to identify natural inhibitors of the mutant PBP2x via density functional theory, but they did this on S. pneumoniae instead of GAS as part of computational drug discovery and not resistance surveillance [16].</w:t>
      </w:r>
    </w:p>
    <w:p w14:paraId="0A1E703C" w14:textId="77777777" w:rsidR="00594081" w:rsidRPr="00594081" w:rsidRDefault="00594081" w:rsidP="00883A10">
      <w:pPr>
        <w:rPr>
          <w:b/>
          <w:bCs/>
        </w:rPr>
      </w:pPr>
      <w:r w:rsidRPr="00594081">
        <w:rPr>
          <w:b/>
          <w:bCs/>
        </w:rPr>
        <w:t xml:space="preserve">[TABLE I — Literature Review Summary. Insert here. Columns: Author &amp; Year | Method | Dataset / Organism | Limitation. One row per paper: Musser et al. [1], </w:t>
      </w:r>
      <w:proofErr w:type="spellStart"/>
      <w:r w:rsidRPr="00594081">
        <w:rPr>
          <w:b/>
          <w:bCs/>
        </w:rPr>
        <w:t>Vannice</w:t>
      </w:r>
      <w:proofErr w:type="spellEnd"/>
      <w:r w:rsidRPr="00594081">
        <w:rPr>
          <w:b/>
          <w:bCs/>
        </w:rPr>
        <w:t xml:space="preserve"> et al. [2], </w:t>
      </w:r>
      <w:proofErr w:type="spellStart"/>
      <w:r w:rsidRPr="00594081">
        <w:rPr>
          <w:b/>
          <w:bCs/>
        </w:rPr>
        <w:t>Southon</w:t>
      </w:r>
      <w:proofErr w:type="spellEnd"/>
      <w:r w:rsidRPr="00594081">
        <w:rPr>
          <w:b/>
          <w:bCs/>
        </w:rPr>
        <w:t xml:space="preserve"> et al. [3], </w:t>
      </w:r>
      <w:proofErr w:type="spellStart"/>
      <w:r w:rsidRPr="00594081">
        <w:rPr>
          <w:b/>
          <w:bCs/>
        </w:rPr>
        <w:t>Chochua</w:t>
      </w:r>
      <w:proofErr w:type="spellEnd"/>
      <w:r w:rsidRPr="00594081">
        <w:rPr>
          <w:b/>
          <w:bCs/>
        </w:rPr>
        <w:t xml:space="preserve"> et al. [4], </w:t>
      </w:r>
      <w:proofErr w:type="spellStart"/>
      <w:r w:rsidRPr="00594081">
        <w:rPr>
          <w:b/>
          <w:bCs/>
        </w:rPr>
        <w:t>Amusin</w:t>
      </w:r>
      <w:proofErr w:type="spellEnd"/>
      <w:r w:rsidRPr="00594081">
        <w:rPr>
          <w:b/>
          <w:bCs/>
        </w:rPr>
        <w:t xml:space="preserve"> et al. [5], </w:t>
      </w:r>
      <w:proofErr w:type="spellStart"/>
      <w:r w:rsidRPr="00594081">
        <w:rPr>
          <w:b/>
          <w:bCs/>
        </w:rPr>
        <w:t>Kalladeen</w:t>
      </w:r>
      <w:proofErr w:type="spellEnd"/>
      <w:r w:rsidRPr="00594081">
        <w:rPr>
          <w:b/>
          <w:bCs/>
        </w:rPr>
        <w:t xml:space="preserve"> et al. [6], Li et al. [9], Zhang et al. [7], Kaya et al. [8], Hu et al. [10], Buckley &amp; Harvey [15], </w:t>
      </w:r>
      <w:proofErr w:type="spellStart"/>
      <w:r w:rsidRPr="00594081">
        <w:rPr>
          <w:b/>
          <w:bCs/>
        </w:rPr>
        <w:t>Panickar</w:t>
      </w:r>
      <w:proofErr w:type="spellEnd"/>
      <w:r w:rsidRPr="00594081">
        <w:rPr>
          <w:b/>
          <w:bCs/>
        </w:rPr>
        <w:t xml:space="preserve"> et al. [16].]</w:t>
      </w:r>
    </w:p>
    <w:p w14:paraId="10720BB6" w14:textId="63493260" w:rsidR="00594081" w:rsidRDefault="00594081" w:rsidP="00883A10">
      <w:r w:rsidRPr="00594081">
        <w:t xml:space="preserve">These results provide evidence for two things which together form the motivation for the current research. The first is that genomic surveillance has demonstrated pbp2x-mediated low β-lactam susceptibility as an observed fact which occurs repeatedly and is spread geographically across S. pyogenes. The second is that PBP sequence-based machine learning prediction of β-lactam resistance phenotype is something which has been shown to work well in the closely related species, S. pneumoniae, and in an independently developed body of literature, that validation methodology rather than model structure is the important factor determining whether these predictions generalize. No study has done </w:t>
      </w:r>
      <w:r w:rsidRPr="00594081">
        <w:lastRenderedPageBreak/>
        <w:t>both these things, however: there does not exist a machine learning-based predictive model of pbp2x-mediated β-lactam susceptibility for S. pyogenes which is evaluated for its generalization properties to new mutations.</w:t>
      </w:r>
    </w:p>
    <w:p w14:paraId="42A4A2F6" w14:textId="60FBCF02" w:rsidR="00594081" w:rsidRDefault="00594081" w:rsidP="00883A10">
      <w:r w:rsidRPr="00594081">
        <w:rPr>
          <w:highlight w:val="yellow"/>
        </w:rPr>
        <w:t>METHODOLOGY</w:t>
      </w:r>
    </w:p>
    <w:p w14:paraId="23303B8B" w14:textId="199C6875" w:rsidR="00594081" w:rsidRDefault="00594081" w:rsidP="00883A10">
      <w:r w:rsidRPr="00594081">
        <w:t>A. Dataset</w:t>
      </w:r>
    </w:p>
    <w:p w14:paraId="6232748B" w14:textId="6A99FAA9" w:rsidR="00594081" w:rsidRDefault="00594081" w:rsidP="00883A10">
      <w:r w:rsidRPr="00594081">
        <w:t xml:space="preserve">The data set contained 989 GAS genomes assembled from NCBI </w:t>
      </w:r>
      <w:proofErr w:type="spellStart"/>
      <w:r w:rsidRPr="00594081">
        <w:t>BioProject</w:t>
      </w:r>
      <w:proofErr w:type="spellEnd"/>
      <w:r w:rsidRPr="00594081">
        <w:t xml:space="preserve"> PRJNA817826 with NCBI Datasets command-line interface, representing the pediatric pharyngitis cohort studied by </w:t>
      </w:r>
      <w:proofErr w:type="spellStart"/>
      <w:r w:rsidRPr="00594081">
        <w:t>Amusin</w:t>
      </w:r>
      <w:proofErr w:type="spellEnd"/>
      <w:r w:rsidRPr="00594081">
        <w:t xml:space="preserve"> et al. [5], isolated in four U.S. cities between 2020-2023. One may want to note that while 989 genome assemblies obtained directly from the </w:t>
      </w:r>
      <w:proofErr w:type="spellStart"/>
      <w:r w:rsidRPr="00594081">
        <w:t>BioProject</w:t>
      </w:r>
      <w:proofErr w:type="spellEnd"/>
      <w:r w:rsidRPr="00594081">
        <w:t xml:space="preserve"> are different in number from the 902 isolates analyzed in </w:t>
      </w:r>
      <w:proofErr w:type="spellStart"/>
      <w:r w:rsidRPr="00594081">
        <w:t>Amusin</w:t>
      </w:r>
      <w:proofErr w:type="spellEnd"/>
      <w:r w:rsidRPr="00594081">
        <w:t xml:space="preserve"> et al. [5], this is caused by the fact that the current study independently obtained and processed all available assemblies within the </w:t>
      </w:r>
      <w:proofErr w:type="spellStart"/>
      <w:r w:rsidRPr="00594081">
        <w:t>BioProject</w:t>
      </w:r>
      <w:proofErr w:type="spellEnd"/>
      <w:r w:rsidRPr="00594081">
        <w:t xml:space="preserve"> accession with its own data extraction and filtering procedure (see below), rather than reusing inclusion criteria or subset used in the analysis of the original paper. As both the original cohort and the assemblies obtained in the current research belong to the same pharyngitis collection effort, the current data set represents the set of pediatric pharyngitis-related GAS isolates, which is seen as the scope of this study</w:t>
      </w:r>
      <w:r>
        <w:t>.</w:t>
      </w:r>
    </w:p>
    <w:p w14:paraId="09BA6B3B" w14:textId="41052DD6" w:rsidR="00594081" w:rsidRDefault="00594081" w:rsidP="00883A10">
      <w:r w:rsidRPr="00594081">
        <w:t xml:space="preserve">For each isolate, PBP2x protein sequences were identified from their assemblies using </w:t>
      </w:r>
      <w:proofErr w:type="spellStart"/>
      <w:r w:rsidRPr="00594081">
        <w:t>blastx</w:t>
      </w:r>
      <w:proofErr w:type="spellEnd"/>
      <w:r w:rsidRPr="00594081">
        <w:t xml:space="preserve">, a sequence-alignment software in the BLAST+ suite that performs a translation alignment of nucleotide query sequences to a protein reference [13] and [14]. </w:t>
      </w:r>
      <w:proofErr w:type="spellStart"/>
      <w:r w:rsidRPr="00594081">
        <w:t>Blastx</w:t>
      </w:r>
      <w:proofErr w:type="spellEnd"/>
      <w:r w:rsidRPr="00594081">
        <w:t xml:space="preserve"> queries used here were done against a curated nucleotide reference of GAS pbp2x obtained from the CDC's GAS genomic reference repository. Allele confirmation was done on each isolate’s best alignment result through </w:t>
      </w:r>
      <w:proofErr w:type="spellStart"/>
      <w:r w:rsidRPr="00594081">
        <w:t>blastp</w:t>
      </w:r>
      <w:proofErr w:type="spellEnd"/>
      <w:r w:rsidRPr="00594081">
        <w:t xml:space="preserve"> using the Blast_bLactam_2X_prot_DB allele reference provided by the CDC, but filtering the results to match only entries that are explicitly marked GAS_2X. This step is required because the allele reference contains also GBS_2X entries and isolate misclassifications were observed during initial analysis from unfiltered cross species matches. A coverage threshold filter requiring a minimum of 95% length of alignment to the reference of 751 amino acids of GAS PBP2x was performed since initial analysis found out that low quality and truncated assemblies produce false hotspot calls due to positions falling outside of the alignment. This filtering process resulted in 986 valid isolates from an original 989 isolates.</w:t>
      </w:r>
    </w:p>
    <w:p w14:paraId="194666CB" w14:textId="6272574E" w:rsidR="00594081" w:rsidRDefault="00594081" w:rsidP="00883A10">
      <w:r w:rsidRPr="00594081">
        <w:t xml:space="preserve">Out of these 986 high-coverage isolates, 272 (27.6%) displayed at least one nucleotide deviation relative to the consensus wild-type sequence at one of seven hotspot sites established in the literature, and 714 (72.4%) isolates had nucleotides that matched the consensus wild-type sequence at all seven positions. The consensus wild-type sequences at each site were determined based on the modal (most common) nucleotide present </w:t>
      </w:r>
      <w:r w:rsidRPr="00594081">
        <w:lastRenderedPageBreak/>
        <w:t>among all 986 high-coverage isolates, and not based on a particular reference genome. This decision was made because a preliminary analysis of wild-type using just one reference genome led to incorrect determination of deviations at position 245, which just happened to have the minority nucleotide in the reference genome, and correction of this problem is in accordance with the practice of bacterial population genomics, where selection of a particular reference genome leads to erroneous conclusions.</w:t>
      </w:r>
    </w:p>
    <w:p w14:paraId="0DD7E79A" w14:textId="75B8CC28" w:rsidR="00640009" w:rsidRPr="00640009" w:rsidRDefault="00640009" w:rsidP="00883A10">
      <w:pPr>
        <w:rPr>
          <w:b/>
          <w:bCs/>
        </w:rPr>
      </w:pPr>
      <w:r w:rsidRPr="00640009">
        <w:rPr>
          <w:b/>
          <w:bCs/>
        </w:rPr>
        <w:t xml:space="preserve">[TABLE II — Dataset Summary. Insert here, two-column format: left column = attribute name, right column = value. Rows: Total genome assemblies retrieved from </w:t>
      </w:r>
      <w:proofErr w:type="spellStart"/>
      <w:r w:rsidRPr="00640009">
        <w:rPr>
          <w:b/>
          <w:bCs/>
        </w:rPr>
        <w:t>BioProject</w:t>
      </w:r>
      <w:proofErr w:type="spellEnd"/>
      <w:r w:rsidRPr="00640009">
        <w:rPr>
          <w:b/>
          <w:bCs/>
        </w:rPr>
        <w:t xml:space="preserve"> (989); Source (NCBI </w:t>
      </w:r>
      <w:proofErr w:type="spellStart"/>
      <w:r w:rsidRPr="00640009">
        <w:rPr>
          <w:b/>
          <w:bCs/>
        </w:rPr>
        <w:t>BioProject</w:t>
      </w:r>
      <w:proofErr w:type="spellEnd"/>
      <w:r w:rsidRPr="00640009">
        <w:rPr>
          <w:b/>
          <w:bCs/>
        </w:rPr>
        <w:t xml:space="preserve"> PRJNA817826, </w:t>
      </w:r>
      <w:proofErr w:type="spellStart"/>
      <w:r w:rsidRPr="00640009">
        <w:rPr>
          <w:b/>
          <w:bCs/>
        </w:rPr>
        <w:t>Amusin</w:t>
      </w:r>
      <w:proofErr w:type="spellEnd"/>
      <w:r w:rsidRPr="00640009">
        <w:rPr>
          <w:b/>
          <w:bCs/>
        </w:rPr>
        <w:t xml:space="preserve"> et al. [5]); Original publication's analytic cohort size (902 — for reference/comparison only); Clinical scope (pediatric pharyngitis, 4 U.S. cities, 2020–2023); Alignment/allele confirmation tool (BLAST+ </w:t>
      </w:r>
      <w:proofErr w:type="spellStart"/>
      <w:r w:rsidRPr="00640009">
        <w:rPr>
          <w:b/>
          <w:bCs/>
        </w:rPr>
        <w:t>blastx</w:t>
      </w:r>
      <w:proofErr w:type="spellEnd"/>
      <w:r w:rsidRPr="00640009">
        <w:rPr>
          <w:b/>
          <w:bCs/>
        </w:rPr>
        <w:t>/</w:t>
      </w:r>
      <w:proofErr w:type="spellStart"/>
      <w:r w:rsidRPr="00640009">
        <w:rPr>
          <w:b/>
          <w:bCs/>
        </w:rPr>
        <w:t>blastp</w:t>
      </w:r>
      <w:proofErr w:type="spellEnd"/>
      <w:r w:rsidRPr="00640009">
        <w:rPr>
          <w:b/>
          <w:bCs/>
        </w:rPr>
        <w:t xml:space="preserve"> [13], [14]); Reference sequence length (751 amino acids); Coverage filter threshold (≥95% of reference length); Usable isolates after filtering (986); Isolates matching consensus wild-type (714, 72.4%); Isolates with ≥1 hotspot deviation (272, 27.6%); Number of distinct mutation combinations observed (8).]</w:t>
      </w:r>
    </w:p>
    <w:p w14:paraId="3877CA21" w14:textId="5AB048E5" w:rsidR="00594081" w:rsidRDefault="00594081" w:rsidP="00883A10">
      <w:r w:rsidRPr="00594081">
        <w:t>B. Features</w:t>
      </w:r>
    </w:p>
    <w:p w14:paraId="34042326" w14:textId="7902948B" w:rsidR="00594081" w:rsidRDefault="00594081" w:rsidP="00883A10">
      <w:r w:rsidRPr="00594081">
        <w:t>The following seven positions of amino acid residues of PBP2x transpeptidase domain (residues 245, 553, 562, 593, 600, 601, and 676) were chosen as features owing to their well-established correlation with resistance to β-lactams in previous studies of genomic surveillance of GAS [1], [2], [4]. These positions were not discovered using unsupervised feature selection on our current dataset but, rather, were predefined in the literature. This approach prevents the possibility of overfitting to the mutation profile of this particular cohort.</w:t>
      </w:r>
    </w:p>
    <w:p w14:paraId="4ED58392" w14:textId="6FD51B6F" w:rsidR="00594081" w:rsidRDefault="00594081" w:rsidP="00883A10">
      <w:r w:rsidRPr="00594081">
        <w:t xml:space="preserve">In either case, the residue in each of the seven positions for every isolate was extracted through one of two procedures. In the first case, the residues were directly indexed for those sequences that aligned with the reference sequence in terms of number of positions. In the second case, where there were insertions and deletions relative to the reference, the residues in the respective positions were extracted from the sequences using the pairwise global alignment technique with the BLOSUM62 amino acid substitution matrix [15], a scoring matrix used in protein sequence alignment based on the relative biochemical probability of the substitution of one amino acid for the other. Since the insertion/deletion would result in an altered numbering of the residues in the sequence, the alignment was necessary in order to extract the correct residues in the positions of interest. The seven positions for every isolate were then encoded in terms of their consensus deviation using the binary scheme, whereby 0 indicated consensus and 1 indicated deviation. This representation was preferred to the raw categorical (20 residue) encoding at each position </w:t>
      </w:r>
      <w:r w:rsidRPr="00594081">
        <w:lastRenderedPageBreak/>
        <w:t>because the number of non-consensus residues observed at each position in this data set was too small to make per residue identity modeling feasible, and because the clinically relevant question to be answered is not whether a particular residue is present at each position, but whether the sequence for that isolate is unusual with respect to the susceptible population.</w:t>
      </w:r>
    </w:p>
    <w:p w14:paraId="1EB16DBA" w14:textId="41CB12FC" w:rsidR="00594081" w:rsidRDefault="00594081" w:rsidP="00883A10">
      <w:r w:rsidRPr="00594081">
        <w:t>C. AI Technique</w:t>
      </w:r>
    </w:p>
    <w:p w14:paraId="51FAC66F" w14:textId="0A620060" w:rsidR="00594081" w:rsidRDefault="00640009" w:rsidP="00883A10">
      <w:r w:rsidRPr="00640009">
        <w:t>In the first stage of modeling, a Random Forest classifier [16] - a meta-learner algorithm which combines the predictions of numerous decorrelated decision trees – was applied as the classifier of choice, since it exhibited proven high effectiveness in small-to-moderate-sized tabular genomic features in previous works on AMR prediction [7], [8]. It was configured with 300 estimators and balanced class weighting in light of moderate class imbalance (714 versus 272 for the consensus and deviating isolates correspondingly). With regular five-fold stratified cross-validation procedure, the model achieved precision of 1.00, recall of 0.989, F1 of 0.994, and AUROC of 0.991. As shown in more detail in section IV, the above results were found to be circular and not truly predictive: the value of the classification label itself was a deterministic function of the seven features given to the model.</w:t>
      </w:r>
    </w:p>
    <w:p w14:paraId="7941645E" w14:textId="19AAA176" w:rsidR="00640009" w:rsidRDefault="00640009" w:rsidP="00883A10">
      <w:r w:rsidRPr="00640009">
        <w:t xml:space="preserve">In order to assess the classifier’s ability to detect unseen mutation combinations, and thus its applicability to practical early warning surveillance, in which, by definition, an entirely novel mutation combination would be encountered, validation folds were based on mutation combination, not on the individual isolate. There were only eight unique mutation combinations among the total of 272 deviating isolates. The leave-one-mutation-combination-out approach, where all isolates with the same mutation combination were left out at once, led to a dramatic collapse of AUROC performance, with AUROC of 0.012, precision of 0.276, recall of 1.0, and F1 score of 0.433. The collapse was reproduced using the </w:t>
      </w:r>
      <w:proofErr w:type="spellStart"/>
      <w:r w:rsidRPr="00640009">
        <w:t>GroupKFold</w:t>
      </w:r>
      <w:proofErr w:type="spellEnd"/>
      <w:r w:rsidRPr="00640009">
        <w:t xml:space="preserve"> and </w:t>
      </w:r>
      <w:proofErr w:type="spellStart"/>
      <w:r w:rsidRPr="00640009">
        <w:t>LeaveOneGroupOut</w:t>
      </w:r>
      <w:proofErr w:type="spellEnd"/>
      <w:r w:rsidRPr="00640009">
        <w:t xml:space="preserve"> validation approaches implemented in scikit-learn [18] in order to exclude the possibility of a result biased by a particular partitioning method. Under these conditions, the model tended to label nearly all isolates as anomalous, which was consistent with Hu et al.'s wider observation of overestimation of generalization ability due to cross-validation in genomic data [10].</w:t>
      </w:r>
    </w:p>
    <w:p w14:paraId="3714BE2D" w14:textId="3CC65CA9" w:rsidR="00640009" w:rsidRDefault="00640009" w:rsidP="00883A10">
      <w:r w:rsidRPr="00640009">
        <w:t xml:space="preserve">Secondly, this task was reformulated as one-class anomaly detection rather than binary classification. The Isolation Forest algorithm [17], which is one of the ensemble algorithms designed to detect anomalies through isolation of the observations through randomized partitioning of the data based on the idea that anomalous points can be isolated with less partitions than normal points, was trained on isolates with consensus wild-type sequence only, where contamination parameter was equal to 0.1. Isolation Forest algorithm was </w:t>
      </w:r>
      <w:r w:rsidRPr="00640009">
        <w:lastRenderedPageBreak/>
        <w:t>chosen precisely because it doesn’t need any training with anomalous class beforehand like Random Forest algorithm. Instead, it learns distribution of the normal (consensus) class only and then detects deviation from this distribution regardless of positions. Evaluation of this model was done using proper cross-validation where both classes were being left out of the folds one at a time, whereas in the previous case only one class was left out for evaluation across the whole dataset. For the Isolation Forest algorithm, these metrics were obtained: precision 0.843, recall 0.989, F1 0.91, AUROC 0.928.</w:t>
      </w:r>
    </w:p>
    <w:p w14:paraId="73D88ED4" w14:textId="2F4EF6EE" w:rsidR="00640009" w:rsidRDefault="00640009" w:rsidP="00883A10">
      <w:r w:rsidRPr="00640009">
        <w:t>D. System Implementation</w:t>
      </w:r>
    </w:p>
    <w:p w14:paraId="06898DF5" w14:textId="47B24B99" w:rsidR="00640009" w:rsidRDefault="00640009" w:rsidP="00883A10">
      <w:r w:rsidRPr="00640009">
        <w:t xml:space="preserve">The trained Isolation Forest model, along with its associated dictionary of consensus wild-type residue positions, hot-spot position list, reference sequence, and feature orderings, was serialized and deployed through a backend web service that was implemented using the </w:t>
      </w:r>
      <w:proofErr w:type="spellStart"/>
      <w:r w:rsidRPr="00640009">
        <w:t>FastAPI</w:t>
      </w:r>
      <w:proofErr w:type="spellEnd"/>
      <w:r w:rsidRPr="00640009">
        <w:t xml:space="preserve"> framework in Python, a web framework that natively supports asynchronous request processing as well as automatic validation of requests and responses, two useful features of a service that expects arbitrary length genomic sequences as input. The backend has three available endpoints: POST /predict, where a single PBP2x sequence of an isolate can be sent and its classification will be returned; POST /predict-batch, where multiple sequences can be sent in batch and the ranked results returned; and finally GET /health, for service monitoring purposes. Since the deployed model is an Isolation Forest model and not a Random Forest model as in the pilot phase, for the prediction of anomalies at request time the predict() and </w:t>
      </w:r>
      <w:proofErr w:type="spellStart"/>
      <w:r w:rsidRPr="00640009">
        <w:t>score_samples</w:t>
      </w:r>
      <w:proofErr w:type="spellEnd"/>
      <w:r w:rsidRPr="00640009">
        <w:t xml:space="preserve">() methods of the Isolation Forest model were utilized, returning a binary label of normal/anomaly and a continuous anomaly score respectively for internal use during batch predictions; unlike the </w:t>
      </w:r>
      <w:proofErr w:type="spellStart"/>
      <w:r w:rsidRPr="00640009">
        <w:t>predict_proba</w:t>
      </w:r>
      <w:proofErr w:type="spellEnd"/>
      <w:r w:rsidRPr="00640009">
        <w:t>() method of the Random Forest model.</w:t>
      </w:r>
    </w:p>
    <w:p w14:paraId="284A0BAD" w14:textId="0E5AEB59" w:rsidR="00640009" w:rsidRDefault="00640009" w:rsidP="00883A10">
      <w:r w:rsidRPr="00640009">
        <w:t>For each submitted sequence before scoring, there is a preliminary test for identity to the reference sequence of PBP2x using the identical BLAST alignment procedure outlined in Section III-A; all sequences below 90% identity to the reference will not be scored, to ensure no error in wrong species or wrong gene input goes unnoticed. Sequences below the 95% identity cut-off value that was used for building the dataset are considered to be of low confidence and will be marked accordingly. For all sequences which satisfy both of these criteria, all deviations at each of the seven hotspot positions will be specified using regular protein substitution notation (wild-type residue, position, observed residue – for example, T553K) alongside the deviation type (point mutation, insertion, deletion, or frameshift indicator).</w:t>
      </w:r>
    </w:p>
    <w:p w14:paraId="096E6F2B" w14:textId="2FF12B7B" w:rsidR="00640009" w:rsidRDefault="00640009" w:rsidP="00883A10">
      <w:r w:rsidRPr="00640009">
        <w:t xml:space="preserve">However, the frontend is not a single-scroll website, but a multi-page web application (views Home, How It Works, and Analyze), this decision was made on purpose to provide separation between general information about the project and the screening tool itself. </w:t>
      </w:r>
      <w:r w:rsidRPr="00640009">
        <w:lastRenderedPageBreak/>
        <w:t>According to the design principle that states that screening tool output must help, but not replace, clinical or laboratory judgement, the frontend shows only binary Flag or Safe status with readable explanations (for example, substitution notation and type of mutations found), while the continuous anomaly score used for calculation is not shown to the user because an uncalibrated anomaly score does not have any clinical meaning and showing it might give the impression of quantitative accuracy, which the model lacks. In addition to that, the application creates two to three pages long PDF report per isolate, generated in the client side, and has a batch option that ranks submitted isolates by their anomaly score.</w:t>
      </w:r>
    </w:p>
    <w:p w14:paraId="585F6DBC" w14:textId="77777777" w:rsidR="00640009" w:rsidRPr="00640009" w:rsidRDefault="00640009" w:rsidP="00640009">
      <w:r w:rsidRPr="00640009">
        <w:rPr>
          <w:b/>
          <w:bCs/>
        </w:rPr>
        <w:t xml:space="preserve">[FIGURE — System architecture diagram. Insert here: a block diagram showing the flow from input sequence → BLAST species/coverage check → hotspot feature extraction → Isolation Forest inference → categorical output + PDF report, with the </w:t>
      </w:r>
      <w:proofErr w:type="spellStart"/>
      <w:r w:rsidRPr="00640009">
        <w:rPr>
          <w:b/>
          <w:bCs/>
        </w:rPr>
        <w:t>FastAPI</w:t>
      </w:r>
      <w:proofErr w:type="spellEnd"/>
      <w:r w:rsidRPr="00640009">
        <w:rPr>
          <w:b/>
          <w:bCs/>
        </w:rPr>
        <w:t xml:space="preserve"> backend and frontend as separate labeled blocks.]</w:t>
      </w:r>
    </w:p>
    <w:p w14:paraId="60019ADD" w14:textId="77777777" w:rsidR="00640009" w:rsidRDefault="00640009" w:rsidP="00640009">
      <w:pPr>
        <w:rPr>
          <w:b/>
          <w:bCs/>
        </w:rPr>
      </w:pPr>
      <w:r w:rsidRPr="00640009">
        <w:rPr>
          <w:b/>
          <w:bCs/>
        </w:rPr>
        <w:t>[FIGURE — Screenshot of the deployed S. pyogenes Ranker web application (Home, How It Works, or Analyze page). Insert author-generated screenshot here.]</w:t>
      </w:r>
    </w:p>
    <w:p w14:paraId="22F5D89B" w14:textId="45CFDF58" w:rsidR="00640009" w:rsidRPr="00640009" w:rsidRDefault="00640009" w:rsidP="00640009">
      <w:r w:rsidRPr="00640009">
        <w:rPr>
          <w:highlight w:val="yellow"/>
        </w:rPr>
        <w:t>RESULTS AND DISCUSSION</w:t>
      </w:r>
    </w:p>
    <w:p w14:paraId="6F49B01B" w14:textId="69293E74" w:rsidR="00640009" w:rsidRDefault="00640009" w:rsidP="00883A10">
      <w:r w:rsidRPr="00640009">
        <w:t>The report of precision, recall, F1 score, and AUROC under the ROC was done as a bundle rather than any individual measure due to the nature of the problem being both an imbalance (272 positive isolates against 714 negative) and a screening type, where the outcome of a false negative case (a reduced-susceptibility isolate slipping through without flagging for further investigation) is different in nature than that of a false positive case (an isolate flagged as a potential deviation, which turns out to be a consensus wild type). The precision measures the proportion of flagged isolates that are indeed a deviation, limiting the number of confirmations needed at the lab. This is why AUROC was presented in addition to these other measures, which focus on decision quality at a specific threshold, since it focuses on ranking accuracy at all possible decision thresholds, not just one point; this makes sense for a screening test in practice, where the optimal decision threshold might vary depending on whether the scenario is a research surveillance setting or a resource-limited lab environment.</w:t>
      </w:r>
    </w:p>
    <w:p w14:paraId="3AEECB23" w14:textId="740FD998" w:rsidR="00640009" w:rsidRDefault="00640009" w:rsidP="00883A10">
      <w:pPr>
        <w:rPr>
          <w:b/>
          <w:bCs/>
        </w:rPr>
      </w:pPr>
      <w:r w:rsidRPr="00640009">
        <w:rPr>
          <w:b/>
          <w:bCs/>
        </w:rPr>
        <w:t>[TABLE III — Model Performance Comparison. Insert here. Columns: Model / Evaluation Scheme | Precision | Recall | F1 | AUROC. Rows: Random Forest (standard 5-fold CV) — 1.00 / 0.989 / 0.994 / 0.991; Random Forest (leave-one-mutation-combination-out) — 0.276 / 1.00 / 0.433 / 0.012; Isolation Forest (proper CV, both classes held out) — 0.843 / 0.989 / 0.91 / 0.928.]</w:t>
      </w:r>
    </w:p>
    <w:p w14:paraId="558513B6" w14:textId="2A3F9924" w:rsidR="00640009" w:rsidRDefault="004F4917" w:rsidP="00883A10">
      <w:r w:rsidRPr="004F4917">
        <w:lastRenderedPageBreak/>
        <w:t>The canonical result from the Random Forest is not proof of the utility of a good predictive model, despite how close to perfection the result appears. The classification variable was designed as a deterministic function of the same seven binary variables used in the input of the algorithm, meaning that no learning of the relationship between the sequence context and the deviation in question was necessary; all that was required was the ability to determine whether any of its input variables were non-zero, which would be simple since it had direct access to those variables. This is further complicated by the use of standard random five-fold cross validation, which allows for isolates with the same set of mutations to be present in both training and test sets.</w:t>
      </w:r>
    </w:p>
    <w:p w14:paraId="683CE5D7" w14:textId="31087F76" w:rsidR="004F4917" w:rsidRDefault="004F4917" w:rsidP="00883A10">
      <w:r w:rsidRPr="004F4917">
        <w:t>The leave-one-mutation-combination-out result clearly illustrates this drawback and is a more relevant measure of the effectiveness of the technique for surveillance purposes. In particular, the AUROC value of 0.012, which is way below the 0.5 one would expect from the mere guesswork, proves that the Random Forest failed not only to generalize to new combinations but even to correctly order them compared to random under such partitioning. The seemingly perfect value of recall (1.0), which is observed in the context of the same evaluation measure, does not salvage the outcome since it goes hand in hand with a very low value of precision (0.276), meaning that the model succeeded in generating recall by tagging the vast majority of isolates as positive, a rather impractical form of flagging. The fact that such failure was observed consistently across two independent implementations of the cross-validation approach (</w:t>
      </w:r>
      <w:proofErr w:type="spellStart"/>
      <w:r w:rsidRPr="004F4917">
        <w:t>GroupKFold</w:t>
      </w:r>
      <w:proofErr w:type="spellEnd"/>
      <w:r w:rsidRPr="004F4917">
        <w:t xml:space="preserve"> and </w:t>
      </w:r>
      <w:proofErr w:type="spellStart"/>
      <w:r w:rsidRPr="004F4917">
        <w:t>LeaveOneGroupOut</w:t>
      </w:r>
      <w:proofErr w:type="spellEnd"/>
      <w:r w:rsidRPr="004F4917">
        <w:t>) allows one to conclude that it is a property of the supervised learning paradigm rather than a specific feature of one implementation of it, a conclusion consistent with Hu et al.'s results in general [10].</w:t>
      </w:r>
    </w:p>
    <w:p w14:paraId="03319830" w14:textId="3905990C" w:rsidR="004F4917" w:rsidRDefault="004F4917" w:rsidP="00883A10">
      <w:r w:rsidRPr="004F4917">
        <w:t>The Isolation Forest result is the main reported result in the paper, and its AUROC score of 0.928 obtained via correct cross-validation constitutes an entirely different, and much more sound way, of generalizing. Since the model was trained only on the consensus wild-type strains and never saw any particular mutation combination while training, its capacity to correctly rank out-of-sample deviating strains as anomalies could not be due to memorization of seen mutation combinations — the cause of Random Forest’s failure. Rather, the model seems to have acquired some kind of statistical understanding of the consensus sequences’ distribution, enabling it to identify any combination of mutations that deviates sufficiently from this distribution, regardless of whether this combination has been seen previously or not. This characteristic is exactly what is expected of an early-warning system used for surveillance.</w:t>
      </w:r>
    </w:p>
    <w:p w14:paraId="2BB25633" w14:textId="6B0D48EC" w:rsidR="004F4917" w:rsidRDefault="004F4917" w:rsidP="00883A10">
      <w:r w:rsidRPr="004F4917">
        <w:lastRenderedPageBreak/>
        <w:t xml:space="preserve">[FIGURE — ROC curve for the Isolation Forest model, generated from the notebook's </w:t>
      </w:r>
      <w:proofErr w:type="spellStart"/>
      <w:r w:rsidRPr="004F4917">
        <w:t>anomaly_scores</w:t>
      </w:r>
      <w:proofErr w:type="spellEnd"/>
      <w:r w:rsidRPr="004F4917">
        <w:t xml:space="preserve"> and y values across the held-out folds; annotate with cross-validated AUROC = 0.928. Insert here.]</w:t>
      </w:r>
    </w:p>
    <w:p w14:paraId="2741EDAE" w14:textId="7379C1D5" w:rsidR="004F4917" w:rsidRDefault="004F4917" w:rsidP="00883A10">
      <w:r w:rsidRPr="004F4917">
        <w:t>However, the ROC curve has been included precisely to show that the good performance achieved by the Isolation Forest is not restricted to the one particular decision threshold considered in Table III but rather to the entire range of such thresholds; it is on this basis that AUROC is the metric of choice hereabove.</w:t>
      </w:r>
    </w:p>
    <w:p w14:paraId="31C2756F" w14:textId="19AC7B8D" w:rsidR="004F4917" w:rsidRDefault="004F4917" w:rsidP="00883A10">
      <w:r w:rsidRPr="004F4917">
        <w:t xml:space="preserve">[TABLE IV — Confusion Matrix for the Isolation Forest model at its default threshold. Insert here, 2×2 format (Predicted Safe / Predicted Flagged rows against Actual Consensus / Actual Deviation columns), populated with final held-out prediction counts from the notebook's y vs. </w:t>
      </w:r>
      <w:proofErr w:type="spellStart"/>
      <w:r w:rsidRPr="004F4917">
        <w:t>all_preds</w:t>
      </w:r>
      <w:proofErr w:type="spellEnd"/>
      <w:r w:rsidRPr="004F4917">
        <w:t xml:space="preserve"> arrays.]</w:t>
      </w:r>
    </w:p>
    <w:p w14:paraId="1986520B" w14:textId="7E971A58" w:rsidR="004F4917" w:rsidRDefault="004F4917" w:rsidP="00883A10">
      <w:r w:rsidRPr="004F4917">
        <w:t>The confusion matrix puts the precision-recall trade-off of the model into perspective at the default operating point, where the high recall (0.989) implies that almost all deviations have been identified, while the precision of 0.843 indicates a certain number of false positives, which in this case means consensus that has been incorrectly categorized as deviation and hence represents the confirmatory phenotypic test load of the system.</w:t>
      </w:r>
    </w:p>
    <w:p w14:paraId="2F1C28B4" w14:textId="4823B387" w:rsidR="004F4917" w:rsidRDefault="004F4917" w:rsidP="00883A10">
      <w:r w:rsidRPr="004F4917">
        <w:t xml:space="preserve">There were two scope limitations to consider regarding how the results of this analysis may be considered. The first limitation is that the dataset is composed of 986 isolates which have been independently selected and cleaned out of the 989 assemblies available in the </w:t>
      </w:r>
      <w:proofErr w:type="spellStart"/>
      <w:r w:rsidRPr="004F4917">
        <w:t>BioProject</w:t>
      </w:r>
      <w:proofErr w:type="spellEnd"/>
      <w:r w:rsidRPr="004F4917">
        <w:t xml:space="preserve"> PRJNA817826, the count which differs from the 902-isolate analysis set in the original paper [5], but not due to differences in data itself, but due to differences in the processing pipeline used in this study. More importantly for the interpretation of the results, all isolates included in both the original analysis set as well as the current dataset were isolated from the children with pharyngitis [5]. Since the model has been trained and tested only on this subset of GAS associated with pharyngitis in children, the performance of the model, including the AUROC of the Isolation Forest equal to 0.928, can be evaluated only in terms of performance on the pharyngitis-derived population of GAS, not any other one. Eight mutation combinations only were found among the 272 outliers in this particular dataset generated from pharyngitis; therefore, one has to interpret the AUROC of Isolation Forest with regard to the sequence diversity already existing in this particular dataset, not an assurance that any yet unaccounted for mutation combinations of PBP2x will always be detected. This particular dataset does not include </w:t>
      </w:r>
      <w:proofErr w:type="spellStart"/>
      <w:r w:rsidRPr="004F4917">
        <w:t>emm</w:t>
      </w:r>
      <w:proofErr w:type="spellEnd"/>
      <w:r w:rsidRPr="004F4917">
        <w:t xml:space="preserve"> type information; moreover, the scope of the model is intentionally narrowed to the seven hotspots of PBP2x found in the literature, instead of the whole protein sequence, which is the approach typical for the surveillance literature utilized in this project [1], [2], [4].</w:t>
      </w:r>
    </w:p>
    <w:p w14:paraId="26D46933" w14:textId="5B59C6B0" w:rsidR="00A7152A" w:rsidRDefault="00A7152A" w:rsidP="00883A10">
      <w:r w:rsidRPr="00A7152A">
        <w:rPr>
          <w:highlight w:val="yellow"/>
        </w:rPr>
        <w:lastRenderedPageBreak/>
        <w:t>CONCLUSION AND FUTURE SCOPE</w:t>
      </w:r>
    </w:p>
    <w:p w14:paraId="46C8F023" w14:textId="221C7B06" w:rsidR="00A7152A" w:rsidRDefault="00A7152A" w:rsidP="00883A10">
      <w:r w:rsidRPr="00A7152A">
        <w:t>Two interrelated issues were tackled by this study. These issues were the biological issue of detecting whether there is a PBP2x mutation within GAS isolates that lead to decreased β-lactam susceptibility, and the methodological issue of validating the prediction model through a realistic early-warning approach, not pattern memorization within a limited number of mutation combinations. In terms of biology, the current study validated the fact that the deviation of PBP2x sequence from the population consensus, which is similar to the result from other surveillance studies [1]–[6], can be detected and coded within routinely generated whole-genome sequences data without having to conduct the phenotypic MIC test as a necessary step of screening. It should be noted that this finding is only true within the pediatric pharyngitis population from which the dataset was generated [5]. This is because both the original 902-isolate population and the 986-isolate population were collected based on pediatric pharyngitis patients only.</w:t>
      </w:r>
    </w:p>
    <w:p w14:paraId="0AAA07AB" w14:textId="1DDC18BC" w:rsidR="00A7152A" w:rsidRDefault="00A7152A" w:rsidP="00883A10">
      <w:r w:rsidRPr="00A7152A">
        <w:t>In terms of methodology, the research showed that a regular supervised Random Forest algorithm, even though it performed nearly perfect when using the regular cross-validation approach (AUROC 0.991), could not perform well at all (AUROC 0.012) when assessed on mutation combinations unseen during training due to the problem of circularity between the features and labels as well as small number of unique combinations present in current surveillance datasets – an issue not detectable using the regular cross-validation reporting. This problem was solved by formulating the problem as one-class anomaly detection where Isolation Forest algorithm trained solely on consensus wild-type isolates achieved cross-validated precision of 0.843, recall of 0.989, F1 score of 0.91, and AUROC of 0.928 without having been trained on any particular mutation combination.</w:t>
      </w:r>
    </w:p>
    <w:p w14:paraId="63B540CE" w14:textId="67DFD700" w:rsidR="00A7152A" w:rsidRDefault="00A7152A" w:rsidP="00883A10">
      <w:r w:rsidRPr="00A7152A">
        <w:t>Deployment of the S. pyogenes Ranker system in the workflow converts the algorithm into a practical sequence-screening process that offers binary isolate level Flag/Safe result with substitution level resolution, a safety net of species/gene identity check to avoid the possibility of mis-scoring non-GAS samples, PDF report download facility, and batch mode risk ranking capability suitable for large-scale screening application but not for clinical decision making at isolate level. The tool has been developed keeping in mind its usage in the context of prioritization for confirmatory testing following the example set by PBP-sequence based prediction systems in S. pneumoniae [7]–[9].</w:t>
      </w:r>
    </w:p>
    <w:p w14:paraId="12E172C0" w14:textId="1864EAF6" w:rsidR="00A7152A" w:rsidRDefault="00A7152A" w:rsidP="00883A10">
      <w:r w:rsidRPr="00A7152A">
        <w:t xml:space="preserve">There exist several limitations with regard to the current claims and the need for future work. Biologically, the dataset was generated exclusively using patients with pharyngitis, pediatric cases, in four major cities of the U.S.[5]. Thus, all the current prevalence estimates as well as the performance figures obtained with the proposed model pertain only to GAS associated with pediatric pharyngitis and not to invasive disease or other age </w:t>
      </w:r>
      <w:r w:rsidRPr="00A7152A">
        <w:lastRenderedPageBreak/>
        <w:t xml:space="preserve">groups and presentations where generalization cannot be inferred. Furthermore, there are no </w:t>
      </w:r>
      <w:proofErr w:type="spellStart"/>
      <w:r w:rsidRPr="00A7152A">
        <w:t>emm</w:t>
      </w:r>
      <w:proofErr w:type="spellEnd"/>
      <w:r w:rsidRPr="00A7152A">
        <w:t xml:space="preserve">-type strain level annotations and only eight different mutation combinations have been used in the dataset, limiting the diversity against which the generalization can be proven. The extension of the dataset with different surveillance datasets with geographic and clinical diversity and including non-pharyngitis GAS cases, along with </w:t>
      </w:r>
      <w:proofErr w:type="spellStart"/>
      <w:r w:rsidRPr="00A7152A">
        <w:t>emm</w:t>
      </w:r>
      <w:proofErr w:type="spellEnd"/>
      <w:r w:rsidRPr="00A7152A">
        <w:t xml:space="preserve"> typing of strains, will serve as one way of addressing this limitation in the future. As far as methodology is concerned, the feature selection is constrained by the fact that only seven known hot spots in the PBP2x protein were selected, a point that needs to be addressed by selecting features over the entire PBP2x sequence and even other penicillin binding proteins in the future.</w:t>
      </w:r>
    </w:p>
    <w:p w14:paraId="159D795E" w14:textId="5FCE187C" w:rsidR="00A7152A" w:rsidRPr="004F4917" w:rsidRDefault="00A7152A" w:rsidP="00883A10">
      <w:r w:rsidRPr="00A7152A">
        <w:t>In addition, the linkage of the model’s score to a quantitative resistance risk prediction based on clinically validated levels of resistance, instead of the Flag/Safe classification used today, will need the availability of data that is not currently possible with the existing publicly available surveillance studies, and is an important area pending the emergence of such data.</w:t>
      </w:r>
    </w:p>
    <w:sectPr w:rsidR="00A7152A" w:rsidRPr="004F4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670BE"/>
    <w:multiLevelType w:val="multilevel"/>
    <w:tmpl w:val="0A10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026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DB4"/>
    <w:rsid w:val="000C5095"/>
    <w:rsid w:val="000E10A1"/>
    <w:rsid w:val="001F2BA7"/>
    <w:rsid w:val="00247B88"/>
    <w:rsid w:val="002C417B"/>
    <w:rsid w:val="003E27A0"/>
    <w:rsid w:val="00426E6C"/>
    <w:rsid w:val="00440E95"/>
    <w:rsid w:val="00483DB4"/>
    <w:rsid w:val="00484D97"/>
    <w:rsid w:val="004D5EF4"/>
    <w:rsid w:val="004F4917"/>
    <w:rsid w:val="00527C12"/>
    <w:rsid w:val="00566B07"/>
    <w:rsid w:val="00594081"/>
    <w:rsid w:val="00640009"/>
    <w:rsid w:val="006D122E"/>
    <w:rsid w:val="00747EB0"/>
    <w:rsid w:val="00883A10"/>
    <w:rsid w:val="00897593"/>
    <w:rsid w:val="008D694E"/>
    <w:rsid w:val="00912B18"/>
    <w:rsid w:val="009A2587"/>
    <w:rsid w:val="009D2224"/>
    <w:rsid w:val="009D7B47"/>
    <w:rsid w:val="00A7152A"/>
    <w:rsid w:val="00C0335F"/>
    <w:rsid w:val="00CD0808"/>
    <w:rsid w:val="00D90F74"/>
    <w:rsid w:val="00F47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D6C72"/>
  <w15:chartTrackingRefBased/>
  <w15:docId w15:val="{2E89D998-457E-48D0-B277-A4AC445E6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DB4"/>
    <w:rPr>
      <w:rFonts w:eastAsiaTheme="majorEastAsia" w:cstheme="majorBidi"/>
      <w:color w:val="272727" w:themeColor="text1" w:themeTint="D8"/>
    </w:rPr>
  </w:style>
  <w:style w:type="paragraph" w:styleId="Title">
    <w:name w:val="Title"/>
    <w:basedOn w:val="Normal"/>
    <w:next w:val="Normal"/>
    <w:link w:val="TitleChar"/>
    <w:uiPriority w:val="10"/>
    <w:qFormat/>
    <w:rsid w:val="00483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DB4"/>
    <w:pPr>
      <w:spacing w:before="160"/>
      <w:jc w:val="center"/>
    </w:pPr>
    <w:rPr>
      <w:i/>
      <w:iCs/>
      <w:color w:val="404040" w:themeColor="text1" w:themeTint="BF"/>
    </w:rPr>
  </w:style>
  <w:style w:type="character" w:customStyle="1" w:styleId="QuoteChar">
    <w:name w:val="Quote Char"/>
    <w:basedOn w:val="DefaultParagraphFont"/>
    <w:link w:val="Quote"/>
    <w:uiPriority w:val="29"/>
    <w:rsid w:val="00483DB4"/>
    <w:rPr>
      <w:i/>
      <w:iCs/>
      <w:color w:val="404040" w:themeColor="text1" w:themeTint="BF"/>
    </w:rPr>
  </w:style>
  <w:style w:type="paragraph" w:styleId="ListParagraph">
    <w:name w:val="List Paragraph"/>
    <w:basedOn w:val="Normal"/>
    <w:uiPriority w:val="34"/>
    <w:qFormat/>
    <w:rsid w:val="00483DB4"/>
    <w:pPr>
      <w:ind w:left="720"/>
      <w:contextualSpacing/>
    </w:pPr>
  </w:style>
  <w:style w:type="character" w:styleId="IntenseEmphasis">
    <w:name w:val="Intense Emphasis"/>
    <w:basedOn w:val="DefaultParagraphFont"/>
    <w:uiPriority w:val="21"/>
    <w:qFormat/>
    <w:rsid w:val="00483DB4"/>
    <w:rPr>
      <w:i/>
      <w:iCs/>
      <w:color w:val="0F4761" w:themeColor="accent1" w:themeShade="BF"/>
    </w:rPr>
  </w:style>
  <w:style w:type="paragraph" w:styleId="IntenseQuote">
    <w:name w:val="Intense Quote"/>
    <w:basedOn w:val="Normal"/>
    <w:next w:val="Normal"/>
    <w:link w:val="IntenseQuoteChar"/>
    <w:uiPriority w:val="30"/>
    <w:qFormat/>
    <w:rsid w:val="00483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DB4"/>
    <w:rPr>
      <w:i/>
      <w:iCs/>
      <w:color w:val="0F4761" w:themeColor="accent1" w:themeShade="BF"/>
    </w:rPr>
  </w:style>
  <w:style w:type="character" w:styleId="IntenseReference">
    <w:name w:val="Intense Reference"/>
    <w:basedOn w:val="DefaultParagraphFont"/>
    <w:uiPriority w:val="32"/>
    <w:qFormat/>
    <w:rsid w:val="00483DB4"/>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9A25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A258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35425">
      <w:bodyDiv w:val="1"/>
      <w:marLeft w:val="0"/>
      <w:marRight w:val="0"/>
      <w:marTop w:val="0"/>
      <w:marBottom w:val="0"/>
      <w:divBdr>
        <w:top w:val="none" w:sz="0" w:space="0" w:color="auto"/>
        <w:left w:val="none" w:sz="0" w:space="0" w:color="auto"/>
        <w:bottom w:val="none" w:sz="0" w:space="0" w:color="auto"/>
        <w:right w:val="none" w:sz="0" w:space="0" w:color="auto"/>
      </w:divBdr>
    </w:div>
    <w:div w:id="62416356">
      <w:bodyDiv w:val="1"/>
      <w:marLeft w:val="0"/>
      <w:marRight w:val="0"/>
      <w:marTop w:val="0"/>
      <w:marBottom w:val="0"/>
      <w:divBdr>
        <w:top w:val="none" w:sz="0" w:space="0" w:color="auto"/>
        <w:left w:val="none" w:sz="0" w:space="0" w:color="auto"/>
        <w:bottom w:val="none" w:sz="0" w:space="0" w:color="auto"/>
        <w:right w:val="none" w:sz="0" w:space="0" w:color="auto"/>
      </w:divBdr>
      <w:divsChild>
        <w:div w:id="1426073099">
          <w:marLeft w:val="0"/>
          <w:marRight w:val="0"/>
          <w:marTop w:val="0"/>
          <w:marBottom w:val="0"/>
          <w:divBdr>
            <w:top w:val="none" w:sz="0" w:space="0" w:color="auto"/>
            <w:left w:val="none" w:sz="0" w:space="0" w:color="auto"/>
            <w:bottom w:val="none" w:sz="0" w:space="0" w:color="auto"/>
            <w:right w:val="none" w:sz="0" w:space="0" w:color="auto"/>
          </w:divBdr>
        </w:div>
      </w:divsChild>
    </w:div>
    <w:div w:id="189494968">
      <w:bodyDiv w:val="1"/>
      <w:marLeft w:val="0"/>
      <w:marRight w:val="0"/>
      <w:marTop w:val="0"/>
      <w:marBottom w:val="0"/>
      <w:divBdr>
        <w:top w:val="none" w:sz="0" w:space="0" w:color="auto"/>
        <w:left w:val="none" w:sz="0" w:space="0" w:color="auto"/>
        <w:bottom w:val="none" w:sz="0" w:space="0" w:color="auto"/>
        <w:right w:val="none" w:sz="0" w:space="0" w:color="auto"/>
      </w:divBdr>
    </w:div>
    <w:div w:id="410928381">
      <w:bodyDiv w:val="1"/>
      <w:marLeft w:val="0"/>
      <w:marRight w:val="0"/>
      <w:marTop w:val="0"/>
      <w:marBottom w:val="0"/>
      <w:divBdr>
        <w:top w:val="none" w:sz="0" w:space="0" w:color="auto"/>
        <w:left w:val="none" w:sz="0" w:space="0" w:color="auto"/>
        <w:bottom w:val="none" w:sz="0" w:space="0" w:color="auto"/>
        <w:right w:val="none" w:sz="0" w:space="0" w:color="auto"/>
      </w:divBdr>
    </w:div>
    <w:div w:id="486554537">
      <w:bodyDiv w:val="1"/>
      <w:marLeft w:val="0"/>
      <w:marRight w:val="0"/>
      <w:marTop w:val="0"/>
      <w:marBottom w:val="0"/>
      <w:divBdr>
        <w:top w:val="none" w:sz="0" w:space="0" w:color="auto"/>
        <w:left w:val="none" w:sz="0" w:space="0" w:color="auto"/>
        <w:bottom w:val="none" w:sz="0" w:space="0" w:color="auto"/>
        <w:right w:val="none" w:sz="0" w:space="0" w:color="auto"/>
      </w:divBdr>
      <w:divsChild>
        <w:div w:id="1365444262">
          <w:marLeft w:val="0"/>
          <w:marRight w:val="0"/>
          <w:marTop w:val="0"/>
          <w:marBottom w:val="0"/>
          <w:divBdr>
            <w:top w:val="none" w:sz="0" w:space="0" w:color="auto"/>
            <w:left w:val="none" w:sz="0" w:space="0" w:color="auto"/>
            <w:bottom w:val="none" w:sz="0" w:space="0" w:color="auto"/>
            <w:right w:val="none" w:sz="0" w:space="0" w:color="auto"/>
          </w:divBdr>
          <w:divsChild>
            <w:div w:id="126557058">
              <w:marLeft w:val="0"/>
              <w:marRight w:val="0"/>
              <w:marTop w:val="0"/>
              <w:marBottom w:val="0"/>
              <w:divBdr>
                <w:top w:val="none" w:sz="0" w:space="0" w:color="auto"/>
                <w:left w:val="none" w:sz="0" w:space="0" w:color="auto"/>
                <w:bottom w:val="none" w:sz="0" w:space="0" w:color="auto"/>
                <w:right w:val="none" w:sz="0" w:space="0" w:color="auto"/>
              </w:divBdr>
              <w:divsChild>
                <w:div w:id="1710908883">
                  <w:marLeft w:val="0"/>
                  <w:marRight w:val="0"/>
                  <w:marTop w:val="0"/>
                  <w:marBottom w:val="0"/>
                  <w:divBdr>
                    <w:top w:val="none" w:sz="0" w:space="0" w:color="auto"/>
                    <w:left w:val="none" w:sz="0" w:space="0" w:color="auto"/>
                    <w:bottom w:val="none" w:sz="0" w:space="0" w:color="auto"/>
                    <w:right w:val="none" w:sz="0" w:space="0" w:color="auto"/>
                  </w:divBdr>
                  <w:divsChild>
                    <w:div w:id="1771971285">
                      <w:marLeft w:val="0"/>
                      <w:marRight w:val="0"/>
                      <w:marTop w:val="0"/>
                      <w:marBottom w:val="0"/>
                      <w:divBdr>
                        <w:top w:val="none" w:sz="0" w:space="0" w:color="auto"/>
                        <w:left w:val="none" w:sz="0" w:space="0" w:color="auto"/>
                        <w:bottom w:val="none" w:sz="0" w:space="0" w:color="auto"/>
                        <w:right w:val="none" w:sz="0" w:space="0" w:color="auto"/>
                      </w:divBdr>
                      <w:divsChild>
                        <w:div w:id="516847597">
                          <w:marLeft w:val="0"/>
                          <w:marRight w:val="0"/>
                          <w:marTop w:val="0"/>
                          <w:marBottom w:val="0"/>
                          <w:divBdr>
                            <w:top w:val="none" w:sz="0" w:space="0" w:color="auto"/>
                            <w:left w:val="none" w:sz="0" w:space="0" w:color="auto"/>
                            <w:bottom w:val="none" w:sz="0" w:space="0" w:color="auto"/>
                            <w:right w:val="none" w:sz="0" w:space="0" w:color="auto"/>
                          </w:divBdr>
                          <w:divsChild>
                            <w:div w:id="796603310">
                              <w:marLeft w:val="0"/>
                              <w:marRight w:val="0"/>
                              <w:marTop w:val="0"/>
                              <w:marBottom w:val="0"/>
                              <w:divBdr>
                                <w:top w:val="none" w:sz="0" w:space="0" w:color="auto"/>
                                <w:left w:val="none" w:sz="0" w:space="0" w:color="auto"/>
                                <w:bottom w:val="none" w:sz="0" w:space="0" w:color="auto"/>
                                <w:right w:val="none" w:sz="0" w:space="0" w:color="auto"/>
                              </w:divBdr>
                              <w:divsChild>
                                <w:div w:id="814640517">
                                  <w:marLeft w:val="0"/>
                                  <w:marRight w:val="0"/>
                                  <w:marTop w:val="0"/>
                                  <w:marBottom w:val="0"/>
                                  <w:divBdr>
                                    <w:top w:val="none" w:sz="0" w:space="0" w:color="auto"/>
                                    <w:left w:val="none" w:sz="0" w:space="0" w:color="auto"/>
                                    <w:bottom w:val="none" w:sz="0" w:space="0" w:color="auto"/>
                                    <w:right w:val="none" w:sz="0" w:space="0" w:color="auto"/>
                                  </w:divBdr>
                                  <w:divsChild>
                                    <w:div w:id="1513447782">
                                      <w:marLeft w:val="0"/>
                                      <w:marRight w:val="0"/>
                                      <w:marTop w:val="0"/>
                                      <w:marBottom w:val="0"/>
                                      <w:divBdr>
                                        <w:top w:val="none" w:sz="0" w:space="0" w:color="auto"/>
                                        <w:left w:val="none" w:sz="0" w:space="0" w:color="auto"/>
                                        <w:bottom w:val="none" w:sz="0" w:space="0" w:color="auto"/>
                                        <w:right w:val="none" w:sz="0" w:space="0" w:color="auto"/>
                                      </w:divBdr>
                                      <w:divsChild>
                                        <w:div w:id="2092189933">
                                          <w:marLeft w:val="0"/>
                                          <w:marRight w:val="0"/>
                                          <w:marTop w:val="0"/>
                                          <w:marBottom w:val="0"/>
                                          <w:divBdr>
                                            <w:top w:val="none" w:sz="0" w:space="0" w:color="auto"/>
                                            <w:left w:val="none" w:sz="0" w:space="0" w:color="auto"/>
                                            <w:bottom w:val="none" w:sz="0" w:space="0" w:color="auto"/>
                                            <w:right w:val="none" w:sz="0" w:space="0" w:color="auto"/>
                                          </w:divBdr>
                                          <w:divsChild>
                                            <w:div w:id="1553229281">
                                              <w:marLeft w:val="0"/>
                                              <w:marRight w:val="0"/>
                                              <w:marTop w:val="0"/>
                                              <w:marBottom w:val="0"/>
                                              <w:divBdr>
                                                <w:top w:val="none" w:sz="0" w:space="0" w:color="auto"/>
                                                <w:left w:val="none" w:sz="0" w:space="0" w:color="auto"/>
                                                <w:bottom w:val="none" w:sz="0" w:space="0" w:color="auto"/>
                                                <w:right w:val="none" w:sz="0" w:space="0" w:color="auto"/>
                                              </w:divBdr>
                                              <w:divsChild>
                                                <w:div w:id="765997045">
                                                  <w:marLeft w:val="0"/>
                                                  <w:marRight w:val="0"/>
                                                  <w:marTop w:val="0"/>
                                                  <w:marBottom w:val="0"/>
                                                  <w:divBdr>
                                                    <w:top w:val="none" w:sz="0" w:space="0" w:color="auto"/>
                                                    <w:left w:val="none" w:sz="0" w:space="0" w:color="auto"/>
                                                    <w:bottom w:val="none" w:sz="0" w:space="0" w:color="auto"/>
                                                    <w:right w:val="none" w:sz="0" w:space="0" w:color="auto"/>
                                                  </w:divBdr>
                                                  <w:divsChild>
                                                    <w:div w:id="310720814">
                                                      <w:marLeft w:val="0"/>
                                                      <w:marRight w:val="0"/>
                                                      <w:marTop w:val="0"/>
                                                      <w:marBottom w:val="0"/>
                                                      <w:divBdr>
                                                        <w:top w:val="none" w:sz="0" w:space="0" w:color="auto"/>
                                                        <w:left w:val="none" w:sz="0" w:space="0" w:color="auto"/>
                                                        <w:bottom w:val="none" w:sz="0" w:space="0" w:color="auto"/>
                                                        <w:right w:val="none" w:sz="0" w:space="0" w:color="auto"/>
                                                      </w:divBdr>
                                                      <w:divsChild>
                                                        <w:div w:id="910426559">
                                                          <w:marLeft w:val="0"/>
                                                          <w:marRight w:val="0"/>
                                                          <w:marTop w:val="0"/>
                                                          <w:marBottom w:val="0"/>
                                                          <w:divBdr>
                                                            <w:top w:val="none" w:sz="0" w:space="0" w:color="auto"/>
                                                            <w:left w:val="none" w:sz="0" w:space="0" w:color="auto"/>
                                                            <w:bottom w:val="none" w:sz="0" w:space="0" w:color="auto"/>
                                                            <w:right w:val="none" w:sz="0" w:space="0" w:color="auto"/>
                                                          </w:divBdr>
                                                          <w:divsChild>
                                                            <w:div w:id="477692446">
                                                              <w:marLeft w:val="0"/>
                                                              <w:marRight w:val="0"/>
                                                              <w:marTop w:val="0"/>
                                                              <w:marBottom w:val="0"/>
                                                              <w:divBdr>
                                                                <w:top w:val="none" w:sz="0" w:space="0" w:color="auto"/>
                                                                <w:left w:val="none" w:sz="0" w:space="0" w:color="auto"/>
                                                                <w:bottom w:val="none" w:sz="0" w:space="0" w:color="auto"/>
                                                                <w:right w:val="none" w:sz="0" w:space="0" w:color="auto"/>
                                                              </w:divBdr>
                                                              <w:divsChild>
                                                                <w:div w:id="341007647">
                                                                  <w:marLeft w:val="0"/>
                                                                  <w:marRight w:val="0"/>
                                                                  <w:marTop w:val="0"/>
                                                                  <w:marBottom w:val="0"/>
                                                                  <w:divBdr>
                                                                    <w:top w:val="none" w:sz="0" w:space="0" w:color="auto"/>
                                                                    <w:left w:val="none" w:sz="0" w:space="0" w:color="auto"/>
                                                                    <w:bottom w:val="none" w:sz="0" w:space="0" w:color="auto"/>
                                                                    <w:right w:val="none" w:sz="0" w:space="0" w:color="auto"/>
                                                                  </w:divBdr>
                                                                  <w:divsChild>
                                                                    <w:div w:id="1230188584">
                                                                      <w:marLeft w:val="0"/>
                                                                      <w:marRight w:val="0"/>
                                                                      <w:marTop w:val="0"/>
                                                                      <w:marBottom w:val="0"/>
                                                                      <w:divBdr>
                                                                        <w:top w:val="none" w:sz="0" w:space="0" w:color="auto"/>
                                                                        <w:left w:val="none" w:sz="0" w:space="0" w:color="auto"/>
                                                                        <w:bottom w:val="none" w:sz="0" w:space="0" w:color="auto"/>
                                                                        <w:right w:val="none" w:sz="0" w:space="0" w:color="auto"/>
                                                                      </w:divBdr>
                                                                      <w:divsChild>
                                                                        <w:div w:id="900094083">
                                                                          <w:marLeft w:val="0"/>
                                                                          <w:marRight w:val="0"/>
                                                                          <w:marTop w:val="0"/>
                                                                          <w:marBottom w:val="0"/>
                                                                          <w:divBdr>
                                                                            <w:top w:val="none" w:sz="0" w:space="0" w:color="auto"/>
                                                                            <w:left w:val="none" w:sz="0" w:space="0" w:color="auto"/>
                                                                            <w:bottom w:val="none" w:sz="0" w:space="0" w:color="auto"/>
                                                                            <w:right w:val="none" w:sz="0" w:space="0" w:color="auto"/>
                                                                          </w:divBdr>
                                                                          <w:divsChild>
                                                                            <w:div w:id="1758943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602157">
      <w:bodyDiv w:val="1"/>
      <w:marLeft w:val="0"/>
      <w:marRight w:val="0"/>
      <w:marTop w:val="0"/>
      <w:marBottom w:val="0"/>
      <w:divBdr>
        <w:top w:val="none" w:sz="0" w:space="0" w:color="auto"/>
        <w:left w:val="none" w:sz="0" w:space="0" w:color="auto"/>
        <w:bottom w:val="none" w:sz="0" w:space="0" w:color="auto"/>
        <w:right w:val="none" w:sz="0" w:space="0" w:color="auto"/>
      </w:divBdr>
    </w:div>
    <w:div w:id="812210769">
      <w:bodyDiv w:val="1"/>
      <w:marLeft w:val="0"/>
      <w:marRight w:val="0"/>
      <w:marTop w:val="0"/>
      <w:marBottom w:val="0"/>
      <w:divBdr>
        <w:top w:val="none" w:sz="0" w:space="0" w:color="auto"/>
        <w:left w:val="none" w:sz="0" w:space="0" w:color="auto"/>
        <w:bottom w:val="none" w:sz="0" w:space="0" w:color="auto"/>
        <w:right w:val="none" w:sz="0" w:space="0" w:color="auto"/>
      </w:divBdr>
    </w:div>
    <w:div w:id="844200499">
      <w:bodyDiv w:val="1"/>
      <w:marLeft w:val="0"/>
      <w:marRight w:val="0"/>
      <w:marTop w:val="0"/>
      <w:marBottom w:val="0"/>
      <w:divBdr>
        <w:top w:val="none" w:sz="0" w:space="0" w:color="auto"/>
        <w:left w:val="none" w:sz="0" w:space="0" w:color="auto"/>
        <w:bottom w:val="none" w:sz="0" w:space="0" w:color="auto"/>
        <w:right w:val="none" w:sz="0" w:space="0" w:color="auto"/>
      </w:divBdr>
    </w:div>
    <w:div w:id="848912600">
      <w:bodyDiv w:val="1"/>
      <w:marLeft w:val="0"/>
      <w:marRight w:val="0"/>
      <w:marTop w:val="0"/>
      <w:marBottom w:val="0"/>
      <w:divBdr>
        <w:top w:val="none" w:sz="0" w:space="0" w:color="auto"/>
        <w:left w:val="none" w:sz="0" w:space="0" w:color="auto"/>
        <w:bottom w:val="none" w:sz="0" w:space="0" w:color="auto"/>
        <w:right w:val="none" w:sz="0" w:space="0" w:color="auto"/>
      </w:divBdr>
    </w:div>
    <w:div w:id="868839546">
      <w:bodyDiv w:val="1"/>
      <w:marLeft w:val="0"/>
      <w:marRight w:val="0"/>
      <w:marTop w:val="0"/>
      <w:marBottom w:val="0"/>
      <w:divBdr>
        <w:top w:val="none" w:sz="0" w:space="0" w:color="auto"/>
        <w:left w:val="none" w:sz="0" w:space="0" w:color="auto"/>
        <w:bottom w:val="none" w:sz="0" w:space="0" w:color="auto"/>
        <w:right w:val="none" w:sz="0" w:space="0" w:color="auto"/>
      </w:divBdr>
    </w:div>
    <w:div w:id="957377616">
      <w:bodyDiv w:val="1"/>
      <w:marLeft w:val="0"/>
      <w:marRight w:val="0"/>
      <w:marTop w:val="0"/>
      <w:marBottom w:val="0"/>
      <w:divBdr>
        <w:top w:val="none" w:sz="0" w:space="0" w:color="auto"/>
        <w:left w:val="none" w:sz="0" w:space="0" w:color="auto"/>
        <w:bottom w:val="none" w:sz="0" w:space="0" w:color="auto"/>
        <w:right w:val="none" w:sz="0" w:space="0" w:color="auto"/>
      </w:divBdr>
      <w:divsChild>
        <w:div w:id="1962226122">
          <w:marLeft w:val="0"/>
          <w:marRight w:val="0"/>
          <w:marTop w:val="0"/>
          <w:marBottom w:val="0"/>
          <w:divBdr>
            <w:top w:val="none" w:sz="0" w:space="0" w:color="auto"/>
            <w:left w:val="none" w:sz="0" w:space="0" w:color="auto"/>
            <w:bottom w:val="none" w:sz="0" w:space="0" w:color="auto"/>
            <w:right w:val="none" w:sz="0" w:space="0" w:color="auto"/>
          </w:divBdr>
        </w:div>
      </w:divsChild>
    </w:div>
    <w:div w:id="973214737">
      <w:bodyDiv w:val="1"/>
      <w:marLeft w:val="0"/>
      <w:marRight w:val="0"/>
      <w:marTop w:val="0"/>
      <w:marBottom w:val="0"/>
      <w:divBdr>
        <w:top w:val="none" w:sz="0" w:space="0" w:color="auto"/>
        <w:left w:val="none" w:sz="0" w:space="0" w:color="auto"/>
        <w:bottom w:val="none" w:sz="0" w:space="0" w:color="auto"/>
        <w:right w:val="none" w:sz="0" w:space="0" w:color="auto"/>
      </w:divBdr>
    </w:div>
    <w:div w:id="995188186">
      <w:bodyDiv w:val="1"/>
      <w:marLeft w:val="0"/>
      <w:marRight w:val="0"/>
      <w:marTop w:val="0"/>
      <w:marBottom w:val="0"/>
      <w:divBdr>
        <w:top w:val="none" w:sz="0" w:space="0" w:color="auto"/>
        <w:left w:val="none" w:sz="0" w:space="0" w:color="auto"/>
        <w:bottom w:val="none" w:sz="0" w:space="0" w:color="auto"/>
        <w:right w:val="none" w:sz="0" w:space="0" w:color="auto"/>
      </w:divBdr>
    </w:div>
    <w:div w:id="1052534694">
      <w:bodyDiv w:val="1"/>
      <w:marLeft w:val="0"/>
      <w:marRight w:val="0"/>
      <w:marTop w:val="0"/>
      <w:marBottom w:val="0"/>
      <w:divBdr>
        <w:top w:val="none" w:sz="0" w:space="0" w:color="auto"/>
        <w:left w:val="none" w:sz="0" w:space="0" w:color="auto"/>
        <w:bottom w:val="none" w:sz="0" w:space="0" w:color="auto"/>
        <w:right w:val="none" w:sz="0" w:space="0" w:color="auto"/>
      </w:divBdr>
    </w:div>
    <w:div w:id="1136072731">
      <w:bodyDiv w:val="1"/>
      <w:marLeft w:val="0"/>
      <w:marRight w:val="0"/>
      <w:marTop w:val="0"/>
      <w:marBottom w:val="0"/>
      <w:divBdr>
        <w:top w:val="none" w:sz="0" w:space="0" w:color="auto"/>
        <w:left w:val="none" w:sz="0" w:space="0" w:color="auto"/>
        <w:bottom w:val="none" w:sz="0" w:space="0" w:color="auto"/>
        <w:right w:val="none" w:sz="0" w:space="0" w:color="auto"/>
      </w:divBdr>
    </w:div>
    <w:div w:id="1235824030">
      <w:bodyDiv w:val="1"/>
      <w:marLeft w:val="0"/>
      <w:marRight w:val="0"/>
      <w:marTop w:val="0"/>
      <w:marBottom w:val="0"/>
      <w:divBdr>
        <w:top w:val="none" w:sz="0" w:space="0" w:color="auto"/>
        <w:left w:val="none" w:sz="0" w:space="0" w:color="auto"/>
        <w:bottom w:val="none" w:sz="0" w:space="0" w:color="auto"/>
        <w:right w:val="none" w:sz="0" w:space="0" w:color="auto"/>
      </w:divBdr>
      <w:divsChild>
        <w:div w:id="330331676">
          <w:marLeft w:val="0"/>
          <w:marRight w:val="0"/>
          <w:marTop w:val="0"/>
          <w:marBottom w:val="0"/>
          <w:divBdr>
            <w:top w:val="none" w:sz="0" w:space="0" w:color="auto"/>
            <w:left w:val="none" w:sz="0" w:space="0" w:color="auto"/>
            <w:bottom w:val="none" w:sz="0" w:space="0" w:color="auto"/>
            <w:right w:val="none" w:sz="0" w:space="0" w:color="auto"/>
          </w:divBdr>
          <w:divsChild>
            <w:div w:id="76220313">
              <w:marLeft w:val="0"/>
              <w:marRight w:val="0"/>
              <w:marTop w:val="0"/>
              <w:marBottom w:val="0"/>
              <w:divBdr>
                <w:top w:val="none" w:sz="0" w:space="0" w:color="auto"/>
                <w:left w:val="none" w:sz="0" w:space="0" w:color="auto"/>
                <w:bottom w:val="none" w:sz="0" w:space="0" w:color="auto"/>
                <w:right w:val="none" w:sz="0" w:space="0" w:color="auto"/>
              </w:divBdr>
              <w:divsChild>
                <w:div w:id="2016882044">
                  <w:marLeft w:val="0"/>
                  <w:marRight w:val="0"/>
                  <w:marTop w:val="0"/>
                  <w:marBottom w:val="0"/>
                  <w:divBdr>
                    <w:top w:val="none" w:sz="0" w:space="0" w:color="auto"/>
                    <w:left w:val="none" w:sz="0" w:space="0" w:color="auto"/>
                    <w:bottom w:val="none" w:sz="0" w:space="0" w:color="auto"/>
                    <w:right w:val="none" w:sz="0" w:space="0" w:color="auto"/>
                  </w:divBdr>
                  <w:divsChild>
                    <w:div w:id="2070032237">
                      <w:marLeft w:val="0"/>
                      <w:marRight w:val="0"/>
                      <w:marTop w:val="0"/>
                      <w:marBottom w:val="0"/>
                      <w:divBdr>
                        <w:top w:val="none" w:sz="0" w:space="0" w:color="auto"/>
                        <w:left w:val="none" w:sz="0" w:space="0" w:color="auto"/>
                        <w:bottom w:val="none" w:sz="0" w:space="0" w:color="auto"/>
                        <w:right w:val="none" w:sz="0" w:space="0" w:color="auto"/>
                      </w:divBdr>
                      <w:divsChild>
                        <w:div w:id="1212577750">
                          <w:marLeft w:val="0"/>
                          <w:marRight w:val="0"/>
                          <w:marTop w:val="0"/>
                          <w:marBottom w:val="0"/>
                          <w:divBdr>
                            <w:top w:val="none" w:sz="0" w:space="0" w:color="auto"/>
                            <w:left w:val="none" w:sz="0" w:space="0" w:color="auto"/>
                            <w:bottom w:val="none" w:sz="0" w:space="0" w:color="auto"/>
                            <w:right w:val="none" w:sz="0" w:space="0" w:color="auto"/>
                          </w:divBdr>
                          <w:divsChild>
                            <w:div w:id="83186599">
                              <w:marLeft w:val="0"/>
                              <w:marRight w:val="0"/>
                              <w:marTop w:val="0"/>
                              <w:marBottom w:val="0"/>
                              <w:divBdr>
                                <w:top w:val="none" w:sz="0" w:space="0" w:color="auto"/>
                                <w:left w:val="none" w:sz="0" w:space="0" w:color="auto"/>
                                <w:bottom w:val="none" w:sz="0" w:space="0" w:color="auto"/>
                                <w:right w:val="none" w:sz="0" w:space="0" w:color="auto"/>
                              </w:divBdr>
                              <w:divsChild>
                                <w:div w:id="1521119907">
                                  <w:marLeft w:val="0"/>
                                  <w:marRight w:val="0"/>
                                  <w:marTop w:val="0"/>
                                  <w:marBottom w:val="0"/>
                                  <w:divBdr>
                                    <w:top w:val="none" w:sz="0" w:space="0" w:color="auto"/>
                                    <w:left w:val="none" w:sz="0" w:space="0" w:color="auto"/>
                                    <w:bottom w:val="none" w:sz="0" w:space="0" w:color="auto"/>
                                    <w:right w:val="none" w:sz="0" w:space="0" w:color="auto"/>
                                  </w:divBdr>
                                  <w:divsChild>
                                    <w:div w:id="996956255">
                                      <w:marLeft w:val="0"/>
                                      <w:marRight w:val="0"/>
                                      <w:marTop w:val="0"/>
                                      <w:marBottom w:val="0"/>
                                      <w:divBdr>
                                        <w:top w:val="none" w:sz="0" w:space="0" w:color="auto"/>
                                        <w:left w:val="none" w:sz="0" w:space="0" w:color="auto"/>
                                        <w:bottom w:val="none" w:sz="0" w:space="0" w:color="auto"/>
                                        <w:right w:val="none" w:sz="0" w:space="0" w:color="auto"/>
                                      </w:divBdr>
                                      <w:divsChild>
                                        <w:div w:id="374504732">
                                          <w:marLeft w:val="0"/>
                                          <w:marRight w:val="0"/>
                                          <w:marTop w:val="0"/>
                                          <w:marBottom w:val="0"/>
                                          <w:divBdr>
                                            <w:top w:val="none" w:sz="0" w:space="0" w:color="auto"/>
                                            <w:left w:val="none" w:sz="0" w:space="0" w:color="auto"/>
                                            <w:bottom w:val="none" w:sz="0" w:space="0" w:color="auto"/>
                                            <w:right w:val="none" w:sz="0" w:space="0" w:color="auto"/>
                                          </w:divBdr>
                                          <w:divsChild>
                                            <w:div w:id="362092720">
                                              <w:marLeft w:val="0"/>
                                              <w:marRight w:val="0"/>
                                              <w:marTop w:val="0"/>
                                              <w:marBottom w:val="0"/>
                                              <w:divBdr>
                                                <w:top w:val="none" w:sz="0" w:space="0" w:color="auto"/>
                                                <w:left w:val="none" w:sz="0" w:space="0" w:color="auto"/>
                                                <w:bottom w:val="none" w:sz="0" w:space="0" w:color="auto"/>
                                                <w:right w:val="none" w:sz="0" w:space="0" w:color="auto"/>
                                              </w:divBdr>
                                              <w:divsChild>
                                                <w:div w:id="353729789">
                                                  <w:marLeft w:val="0"/>
                                                  <w:marRight w:val="0"/>
                                                  <w:marTop w:val="0"/>
                                                  <w:marBottom w:val="0"/>
                                                  <w:divBdr>
                                                    <w:top w:val="none" w:sz="0" w:space="0" w:color="auto"/>
                                                    <w:left w:val="none" w:sz="0" w:space="0" w:color="auto"/>
                                                    <w:bottom w:val="none" w:sz="0" w:space="0" w:color="auto"/>
                                                    <w:right w:val="none" w:sz="0" w:space="0" w:color="auto"/>
                                                  </w:divBdr>
                                                  <w:divsChild>
                                                    <w:div w:id="773941626">
                                                      <w:marLeft w:val="0"/>
                                                      <w:marRight w:val="0"/>
                                                      <w:marTop w:val="0"/>
                                                      <w:marBottom w:val="0"/>
                                                      <w:divBdr>
                                                        <w:top w:val="none" w:sz="0" w:space="0" w:color="auto"/>
                                                        <w:left w:val="none" w:sz="0" w:space="0" w:color="auto"/>
                                                        <w:bottom w:val="none" w:sz="0" w:space="0" w:color="auto"/>
                                                        <w:right w:val="none" w:sz="0" w:space="0" w:color="auto"/>
                                                      </w:divBdr>
                                                      <w:divsChild>
                                                        <w:div w:id="1254359625">
                                                          <w:marLeft w:val="0"/>
                                                          <w:marRight w:val="0"/>
                                                          <w:marTop w:val="0"/>
                                                          <w:marBottom w:val="0"/>
                                                          <w:divBdr>
                                                            <w:top w:val="none" w:sz="0" w:space="0" w:color="auto"/>
                                                            <w:left w:val="none" w:sz="0" w:space="0" w:color="auto"/>
                                                            <w:bottom w:val="none" w:sz="0" w:space="0" w:color="auto"/>
                                                            <w:right w:val="none" w:sz="0" w:space="0" w:color="auto"/>
                                                          </w:divBdr>
                                                          <w:divsChild>
                                                            <w:div w:id="2064987585">
                                                              <w:marLeft w:val="0"/>
                                                              <w:marRight w:val="0"/>
                                                              <w:marTop w:val="0"/>
                                                              <w:marBottom w:val="0"/>
                                                              <w:divBdr>
                                                                <w:top w:val="none" w:sz="0" w:space="0" w:color="auto"/>
                                                                <w:left w:val="none" w:sz="0" w:space="0" w:color="auto"/>
                                                                <w:bottom w:val="none" w:sz="0" w:space="0" w:color="auto"/>
                                                                <w:right w:val="none" w:sz="0" w:space="0" w:color="auto"/>
                                                              </w:divBdr>
                                                              <w:divsChild>
                                                                <w:div w:id="761604572">
                                                                  <w:marLeft w:val="0"/>
                                                                  <w:marRight w:val="0"/>
                                                                  <w:marTop w:val="0"/>
                                                                  <w:marBottom w:val="0"/>
                                                                  <w:divBdr>
                                                                    <w:top w:val="none" w:sz="0" w:space="0" w:color="auto"/>
                                                                    <w:left w:val="none" w:sz="0" w:space="0" w:color="auto"/>
                                                                    <w:bottom w:val="none" w:sz="0" w:space="0" w:color="auto"/>
                                                                    <w:right w:val="none" w:sz="0" w:space="0" w:color="auto"/>
                                                                  </w:divBdr>
                                                                  <w:divsChild>
                                                                    <w:div w:id="547686455">
                                                                      <w:marLeft w:val="0"/>
                                                                      <w:marRight w:val="0"/>
                                                                      <w:marTop w:val="0"/>
                                                                      <w:marBottom w:val="0"/>
                                                                      <w:divBdr>
                                                                        <w:top w:val="none" w:sz="0" w:space="0" w:color="auto"/>
                                                                        <w:left w:val="none" w:sz="0" w:space="0" w:color="auto"/>
                                                                        <w:bottom w:val="none" w:sz="0" w:space="0" w:color="auto"/>
                                                                        <w:right w:val="none" w:sz="0" w:space="0" w:color="auto"/>
                                                                      </w:divBdr>
                                                                      <w:divsChild>
                                                                        <w:div w:id="1999461316">
                                                                          <w:marLeft w:val="0"/>
                                                                          <w:marRight w:val="0"/>
                                                                          <w:marTop w:val="0"/>
                                                                          <w:marBottom w:val="0"/>
                                                                          <w:divBdr>
                                                                            <w:top w:val="none" w:sz="0" w:space="0" w:color="auto"/>
                                                                            <w:left w:val="none" w:sz="0" w:space="0" w:color="auto"/>
                                                                            <w:bottom w:val="none" w:sz="0" w:space="0" w:color="auto"/>
                                                                            <w:right w:val="none" w:sz="0" w:space="0" w:color="auto"/>
                                                                          </w:divBdr>
                                                                          <w:divsChild>
                                                                            <w:div w:id="1958948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0135810">
      <w:bodyDiv w:val="1"/>
      <w:marLeft w:val="0"/>
      <w:marRight w:val="0"/>
      <w:marTop w:val="0"/>
      <w:marBottom w:val="0"/>
      <w:divBdr>
        <w:top w:val="none" w:sz="0" w:space="0" w:color="auto"/>
        <w:left w:val="none" w:sz="0" w:space="0" w:color="auto"/>
        <w:bottom w:val="none" w:sz="0" w:space="0" w:color="auto"/>
        <w:right w:val="none" w:sz="0" w:space="0" w:color="auto"/>
      </w:divBdr>
    </w:div>
    <w:div w:id="1404371683">
      <w:bodyDiv w:val="1"/>
      <w:marLeft w:val="0"/>
      <w:marRight w:val="0"/>
      <w:marTop w:val="0"/>
      <w:marBottom w:val="0"/>
      <w:divBdr>
        <w:top w:val="none" w:sz="0" w:space="0" w:color="auto"/>
        <w:left w:val="none" w:sz="0" w:space="0" w:color="auto"/>
        <w:bottom w:val="none" w:sz="0" w:space="0" w:color="auto"/>
        <w:right w:val="none" w:sz="0" w:space="0" w:color="auto"/>
      </w:divBdr>
    </w:div>
    <w:div w:id="1519343908">
      <w:bodyDiv w:val="1"/>
      <w:marLeft w:val="0"/>
      <w:marRight w:val="0"/>
      <w:marTop w:val="0"/>
      <w:marBottom w:val="0"/>
      <w:divBdr>
        <w:top w:val="none" w:sz="0" w:space="0" w:color="auto"/>
        <w:left w:val="none" w:sz="0" w:space="0" w:color="auto"/>
        <w:bottom w:val="none" w:sz="0" w:space="0" w:color="auto"/>
        <w:right w:val="none" w:sz="0" w:space="0" w:color="auto"/>
      </w:divBdr>
    </w:div>
    <w:div w:id="1614635029">
      <w:bodyDiv w:val="1"/>
      <w:marLeft w:val="0"/>
      <w:marRight w:val="0"/>
      <w:marTop w:val="0"/>
      <w:marBottom w:val="0"/>
      <w:divBdr>
        <w:top w:val="none" w:sz="0" w:space="0" w:color="auto"/>
        <w:left w:val="none" w:sz="0" w:space="0" w:color="auto"/>
        <w:bottom w:val="none" w:sz="0" w:space="0" w:color="auto"/>
        <w:right w:val="none" w:sz="0" w:space="0" w:color="auto"/>
      </w:divBdr>
    </w:div>
    <w:div w:id="1649553869">
      <w:bodyDiv w:val="1"/>
      <w:marLeft w:val="0"/>
      <w:marRight w:val="0"/>
      <w:marTop w:val="0"/>
      <w:marBottom w:val="0"/>
      <w:divBdr>
        <w:top w:val="none" w:sz="0" w:space="0" w:color="auto"/>
        <w:left w:val="none" w:sz="0" w:space="0" w:color="auto"/>
        <w:bottom w:val="none" w:sz="0" w:space="0" w:color="auto"/>
        <w:right w:val="none" w:sz="0" w:space="0" w:color="auto"/>
      </w:divBdr>
    </w:div>
    <w:div w:id="1729526383">
      <w:bodyDiv w:val="1"/>
      <w:marLeft w:val="0"/>
      <w:marRight w:val="0"/>
      <w:marTop w:val="0"/>
      <w:marBottom w:val="0"/>
      <w:divBdr>
        <w:top w:val="none" w:sz="0" w:space="0" w:color="auto"/>
        <w:left w:val="none" w:sz="0" w:space="0" w:color="auto"/>
        <w:bottom w:val="none" w:sz="0" w:space="0" w:color="auto"/>
        <w:right w:val="none" w:sz="0" w:space="0" w:color="auto"/>
      </w:divBdr>
    </w:div>
    <w:div w:id="1808282883">
      <w:bodyDiv w:val="1"/>
      <w:marLeft w:val="0"/>
      <w:marRight w:val="0"/>
      <w:marTop w:val="0"/>
      <w:marBottom w:val="0"/>
      <w:divBdr>
        <w:top w:val="none" w:sz="0" w:space="0" w:color="auto"/>
        <w:left w:val="none" w:sz="0" w:space="0" w:color="auto"/>
        <w:bottom w:val="none" w:sz="0" w:space="0" w:color="auto"/>
        <w:right w:val="none" w:sz="0" w:space="0" w:color="auto"/>
      </w:divBdr>
    </w:div>
    <w:div w:id="1923025092">
      <w:bodyDiv w:val="1"/>
      <w:marLeft w:val="0"/>
      <w:marRight w:val="0"/>
      <w:marTop w:val="0"/>
      <w:marBottom w:val="0"/>
      <w:divBdr>
        <w:top w:val="none" w:sz="0" w:space="0" w:color="auto"/>
        <w:left w:val="none" w:sz="0" w:space="0" w:color="auto"/>
        <w:bottom w:val="none" w:sz="0" w:space="0" w:color="auto"/>
        <w:right w:val="none" w:sz="0" w:space="0" w:color="auto"/>
      </w:divBdr>
    </w:div>
    <w:div w:id="1957247067">
      <w:bodyDiv w:val="1"/>
      <w:marLeft w:val="0"/>
      <w:marRight w:val="0"/>
      <w:marTop w:val="0"/>
      <w:marBottom w:val="0"/>
      <w:divBdr>
        <w:top w:val="none" w:sz="0" w:space="0" w:color="auto"/>
        <w:left w:val="none" w:sz="0" w:space="0" w:color="auto"/>
        <w:bottom w:val="none" w:sz="0" w:space="0" w:color="auto"/>
        <w:right w:val="none" w:sz="0" w:space="0" w:color="auto"/>
      </w:divBdr>
    </w:div>
    <w:div w:id="1989284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340</TotalTime>
  <Pages>12</Pages>
  <Words>4965</Words>
  <Characters>28302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KANNAN (Student)</dc:creator>
  <cp:keywords/>
  <dc:description/>
  <cp:lastModifiedBy>SHALINI KANNAN (Student)</cp:lastModifiedBy>
  <cp:revision>7</cp:revision>
  <dcterms:created xsi:type="dcterms:W3CDTF">2026-08-15T12:33:00Z</dcterms:created>
  <dcterms:modified xsi:type="dcterms:W3CDTF">2026-08-23T13:46:00Z</dcterms:modified>
</cp:coreProperties>
</file>