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12928" w14:textId="02C794BD" w:rsidR="00566B07" w:rsidRDefault="00246E26">
      <w:r>
        <w:t>Drug mirror: Literature review</w:t>
      </w:r>
    </w:p>
    <w:p w14:paraId="64DF62FC" w14:textId="77777777" w:rsidR="00246E26" w:rsidRDefault="00246E26" w:rsidP="00246E26">
      <w:r>
        <w:t>## Related Work</w:t>
      </w:r>
    </w:p>
    <w:p w14:paraId="68E54878" w14:textId="77777777" w:rsidR="00246E26" w:rsidRDefault="00246E26" w:rsidP="00246E26"/>
    <w:p w14:paraId="3F1A0527" w14:textId="77777777" w:rsidR="00246E26" w:rsidRDefault="00246E26" w:rsidP="00246E26">
      <w:r>
        <w:t xml:space="preserve">Computational drug safety research has developed around several complementary prediction tasks, but these tasks are usually implemented as separate systems. Drug–target affinity (DTA) prediction estimates the strength of a drug–protein interaction, commonly using benchmark datasets such as Davis and KIBA. </w:t>
      </w:r>
      <w:proofErr w:type="spellStart"/>
      <w:r>
        <w:t>DeepDTA</w:t>
      </w:r>
      <w:proofErr w:type="spellEnd"/>
      <w:r>
        <w:t xml:space="preserve"> established a sequence-based convolutional formulation, while </w:t>
      </w:r>
      <w:proofErr w:type="spellStart"/>
      <w:r>
        <w:t>GraphDTA</w:t>
      </w:r>
      <w:proofErr w:type="spellEnd"/>
      <w:r>
        <w:t xml:space="preserve"> showed that representing compounds as molecular graphs can improve affinity prediction because graph representations preserve atom–bond relationships that are not explicit in strings [^1]. </w:t>
      </w:r>
      <w:proofErr w:type="spellStart"/>
      <w:r>
        <w:t>MGraphDTA</w:t>
      </w:r>
      <w:proofErr w:type="spellEnd"/>
      <w:r>
        <w:t xml:space="preserve"> extended this direction with a 27-layer multiscale graph network and an atom-level Grad-AAM explanation method, illustrating the field’s movement toward richer molecular representations and model interpretation [^2].</w:t>
      </w:r>
    </w:p>
    <w:p w14:paraId="64446FAC" w14:textId="77777777" w:rsidR="00246E26" w:rsidRDefault="00246E26" w:rsidP="00246E26"/>
    <w:p w14:paraId="307D16C4" w14:textId="77777777" w:rsidR="00246E26" w:rsidRDefault="00246E26" w:rsidP="00246E26">
      <w:r>
        <w:t xml:space="preserve">However, reported DTA performance is sensitive to the evaluation design. Random splits can place related drugs or targets in both training and test sets, producing optimistic estimates of generalization. </w:t>
      </w:r>
      <w:proofErr w:type="spellStart"/>
      <w:r>
        <w:t>MGraphDTA</w:t>
      </w:r>
      <w:proofErr w:type="spellEnd"/>
      <w:r>
        <w:t xml:space="preserve"> therefore assessed orphan-drug, orphan-target, and cluster-based splits and found a substantial performance decrease under the more realistic settings; the authors concluded that generalization to structurally distinct compounds </w:t>
      </w:r>
      <w:proofErr w:type="gramStart"/>
      <w:r>
        <w:t>remains</w:t>
      </w:r>
      <w:proofErr w:type="gramEnd"/>
      <w:r>
        <w:t xml:space="preserve"> difficult [^2]. This observation is relevant to </w:t>
      </w:r>
      <w:proofErr w:type="spellStart"/>
      <w:r>
        <w:t>DrugMirror’s</w:t>
      </w:r>
      <w:proofErr w:type="spellEnd"/>
      <w:r>
        <w:t xml:space="preserve"> validated-drug scope. The system should not present a Davis-trained model as reliable for arbitrary novel molecules without direct evidence from cold-start or scaffold-disjoint evaluation.</w:t>
      </w:r>
    </w:p>
    <w:p w14:paraId="49DF2BA7" w14:textId="77777777" w:rsidR="00246E26" w:rsidRDefault="00246E26" w:rsidP="00246E26"/>
    <w:p w14:paraId="119A8654" w14:textId="77777777" w:rsidR="00246E26" w:rsidRDefault="00246E26" w:rsidP="00246E26">
      <w:r>
        <w:t>Single-drug side-effect prediction is likewise divided between structure-based models and methods that exploit biological or association networks. Network-based approaches can use drug–target, gene, pathway, indication, and drug–side-effect relationships, but their performance depends on the availability and quality of prior annotations. Structure-based approaches are more applicable when a drug has limited biological context. Yu et al. proposed MSDSE, a multi-structure framework combining SMILES-derived embeddings, molecular fingerprints, and graph embeddings through convolutional and self-attention modules [^3]. Their ablation analysis indicated that molecular fingerprints and chemical-structure embeddings contributed more than the word-embedding component, while their case study showed stronger performance for drugs with more known side effects [^3].</w:t>
      </w:r>
    </w:p>
    <w:p w14:paraId="70200421" w14:textId="77777777" w:rsidR="00246E26" w:rsidRDefault="00246E26" w:rsidP="00246E26"/>
    <w:p w14:paraId="174B47FF" w14:textId="77777777" w:rsidR="00246E26" w:rsidRDefault="00246E26" w:rsidP="00246E26">
      <w:r>
        <w:lastRenderedPageBreak/>
        <w:t xml:space="preserve">Other work formulates the task as multi-label classification. DLMSE used molecular fingerprints to predict three side effects simultaneously, illustrating the simple mapping from one drug to multiple adverse-effect labels. Such results must be interpreted cautiously because narrow label sets and class imbalance can make accuracy misleading. </w:t>
      </w:r>
      <w:proofErr w:type="spellStart"/>
      <w:r>
        <w:t>DrugMirror’s</w:t>
      </w:r>
      <w:proofErr w:type="spellEnd"/>
      <w:r>
        <w:t xml:space="preserve"> use of SIDER organ-class labels and its prioritization of AUPRC, F1, and MCC over raw accuracy are better aligned with the imbalanced nature of adverse-effect prediction [^3].</w:t>
      </w:r>
    </w:p>
    <w:p w14:paraId="3E15CB97" w14:textId="77777777" w:rsidR="00246E26" w:rsidRDefault="00246E26" w:rsidP="00246E26"/>
    <w:p w14:paraId="65304468" w14:textId="77777777" w:rsidR="00246E26" w:rsidRDefault="00246E26" w:rsidP="00246E26">
      <w:r>
        <w:t xml:space="preserve">DDI prediction addresses a different problem: whether the presence of one drug changes the effects of another. A comprehensive review categorizes current deep-learning methods into neural-network, graph-neural-network, knowledge-graph, and multimodal approaches [^4]. Structural methods such as </w:t>
      </w:r>
      <w:proofErr w:type="spellStart"/>
      <w:r>
        <w:t>DeepDDI</w:t>
      </w:r>
      <w:proofErr w:type="spellEnd"/>
      <w:r>
        <w:t xml:space="preserve"> use drug similarity or SMILES-derived representations, whereas graph and knowledge-graph methods incorporate molecular structure, drug relationships, proteins, genes, pathways, and other biomedical entities. </w:t>
      </w:r>
      <w:proofErr w:type="spellStart"/>
      <w:r>
        <w:t>SmileGNN</w:t>
      </w:r>
      <w:proofErr w:type="spellEnd"/>
      <w:r>
        <w:t xml:space="preserve"> exemplifies the multimodal direction by combining SMILES-derived features with knowledge-graph topology; it reported improved AUC over </w:t>
      </w:r>
      <w:proofErr w:type="spellStart"/>
      <w:r>
        <w:t>DeepDDI</w:t>
      </w:r>
      <w:proofErr w:type="spellEnd"/>
      <w:r>
        <w:t xml:space="preserve"> and Decagon and verified five of ten highly ranked predictions in a later database version [^5].</w:t>
      </w:r>
    </w:p>
    <w:p w14:paraId="07BD40D9" w14:textId="77777777" w:rsidR="00246E26" w:rsidRDefault="00246E26" w:rsidP="00246E26"/>
    <w:p w14:paraId="026D6A00" w14:textId="77777777" w:rsidR="00246E26" w:rsidRDefault="00246E26" w:rsidP="00246E26">
      <w:r>
        <w:t xml:space="preserve">A central methodological problem in DDI prediction is the definition of negative examples. Absence from a database does not establish that a drug pair has no interaction. </w:t>
      </w:r>
      <w:proofErr w:type="spellStart"/>
      <w:r>
        <w:t>SmileGNN</w:t>
      </w:r>
      <w:proofErr w:type="spellEnd"/>
      <w:r>
        <w:t xml:space="preserve"> explicitly acknowledged that its negative pairs were unverified and could contain clinically unrecorded DDIs [^5]. This motivates </w:t>
      </w:r>
      <w:proofErr w:type="spellStart"/>
      <w:r>
        <w:t>DrugMirror’s</w:t>
      </w:r>
      <w:proofErr w:type="spellEnd"/>
      <w:r>
        <w:t xml:space="preserve"> planned use of </w:t>
      </w:r>
      <w:proofErr w:type="spellStart"/>
      <w:r>
        <w:t>DDInter</w:t>
      </w:r>
      <w:proofErr w:type="spellEnd"/>
      <w:r>
        <w:t xml:space="preserve">, whose associations were assembled from scientific literature and regulatory labels and reviewed by pharmacists for severity and mechanism. </w:t>
      </w:r>
      <w:proofErr w:type="spellStart"/>
      <w:r>
        <w:t>DDInter</w:t>
      </w:r>
      <w:proofErr w:type="spellEnd"/>
      <w:r>
        <w:t xml:space="preserve"> reported approximately 236,834 DDI associations across 1,833 approved drugs, with major, moderate, minor, and unknown severity categories [^6]. These annotations provide a stronger basis for supervised severity classification than presumed negatives, although </w:t>
      </w:r>
      <w:proofErr w:type="spellStart"/>
      <w:r>
        <w:t>DDInter</w:t>
      </w:r>
      <w:proofErr w:type="spellEnd"/>
      <w:r>
        <w:t xml:space="preserve"> itself notes that severity lacks a universal gold standard, coverage is incomplete, and interactions involving three or more drugs are not represented [^6].</w:t>
      </w:r>
    </w:p>
    <w:p w14:paraId="3A883913" w14:textId="77777777" w:rsidR="00246E26" w:rsidRDefault="00246E26" w:rsidP="00246E26"/>
    <w:p w14:paraId="170254CA" w14:textId="77777777" w:rsidR="00246E26" w:rsidRDefault="00246E26" w:rsidP="00246E26">
      <w:r>
        <w:t xml:space="preserve">Recent DDI reviews point toward molecular graphs, heterogeneous knowledge graphs, and hypergraphs that can represent drug–drug–adverse-event relationships and higher-order polypharmacy. They also argue that protein-binding and metabolite information may improve biological interpretability, while emphasizing that individual-level prediction is limited by missing or incomplete age, sex, dose, disease, and treatment-context variables </w:t>
      </w:r>
      <w:r>
        <w:lastRenderedPageBreak/>
        <w:t xml:space="preserve">[^7]. </w:t>
      </w:r>
      <w:proofErr w:type="spellStart"/>
      <w:r>
        <w:t>DrugMirror’s</w:t>
      </w:r>
      <w:proofErr w:type="spellEnd"/>
      <w:r>
        <w:t xml:space="preserve"> initial pairwise fingerprint model is therefore best understood as a deliberately lightweight first implementation, with multimodal and higher-order graph modeling as future extensions.</w:t>
      </w:r>
    </w:p>
    <w:p w14:paraId="4F7B8D6B" w14:textId="77777777" w:rsidR="00246E26" w:rsidRDefault="00246E26" w:rsidP="00246E26"/>
    <w:p w14:paraId="51ED1903" w14:textId="77777777" w:rsidR="00246E26" w:rsidRDefault="00246E26" w:rsidP="00246E26">
      <w:r>
        <w:t>Post-marketing pharmacovigilance supplies a complementary evidence source. Disproportionality methods such as the proportional reporting ratio (PRR) quantify whether a drug–event combination is reported more often than expected in a spontaneous-report database. They are useful for signal detection but are not incidence estimates and do not establish causality. In a FAERS study comparing logistic regression, gradient-boosted trees, random forest, and support-vector machines, model performance depended on class balancing and reference-set construction; the best reported precision–recall AUC was 0.839, and adding case-report features to disproportionality results improved performance over disproportionality alone [^8]. The authors also highlighted under-reporting, reporting bias, missingness, duplication, and the absence of causal verification as limitations [^8].</w:t>
      </w:r>
    </w:p>
    <w:p w14:paraId="0FE56B73" w14:textId="77777777" w:rsidR="00246E26" w:rsidRDefault="00246E26" w:rsidP="00246E26"/>
    <w:p w14:paraId="6F57C8B5" w14:textId="77777777" w:rsidR="00246E26" w:rsidRDefault="00246E26" w:rsidP="00246E26">
      <w:r>
        <w:t xml:space="preserve">The distinction between controlled clinical evidence and real-world reporting is important for </w:t>
      </w:r>
      <w:proofErr w:type="spellStart"/>
      <w:r>
        <w:t>DrugMirror</w:t>
      </w:r>
      <w:proofErr w:type="spellEnd"/>
      <w:r>
        <w:t xml:space="preserve">. An interpretable ADR framework comparing spontaneous reports with SIDER found limited overlap between significant signals and concluded that the two sources capture different ADR profiles. Its results also showed that high accuracy could coexist with weak sensitivity-oriented metrics under class imbalance [^9]. Accordingly, </w:t>
      </w:r>
      <w:proofErr w:type="spellStart"/>
      <w:r>
        <w:t>DrugMirror</w:t>
      </w:r>
      <w:proofErr w:type="spellEnd"/>
      <w:r>
        <w:t xml:space="preserve"> should display FAERS/PRR as a database-wide observational signal and distinguish it from model-predicted side-effect or DDI risk.</w:t>
      </w:r>
    </w:p>
    <w:p w14:paraId="15BBAEDC" w14:textId="77777777" w:rsidR="00246E26" w:rsidRDefault="00246E26" w:rsidP="00246E26"/>
    <w:p w14:paraId="5C2FDF00" w14:textId="77777777" w:rsidR="00246E26" w:rsidRDefault="00246E26" w:rsidP="00246E26">
      <w:r>
        <w:t xml:space="preserve">Taken together, the literature supports the individual technical foundations of </w:t>
      </w:r>
      <w:proofErr w:type="spellStart"/>
      <w:r>
        <w:t>DrugMirror</w:t>
      </w:r>
      <w:proofErr w:type="spellEnd"/>
      <w:r>
        <w:t xml:space="preserve"> but leaves a narrower integration gap. DTA, single-drug side-effect, DDI, and pharmacovigilance methods are generally developed and evaluated independently. Existing multimodal systems typically combine several inputs within one prediction task rather than presenting affinity, adverse-effect categories, DDI severity, and real-world disproportionality in a single interface. </w:t>
      </w:r>
      <w:proofErr w:type="spellStart"/>
      <w:r>
        <w:t>DrugMirror</w:t>
      </w:r>
      <w:proofErr w:type="spellEnd"/>
      <w:r>
        <w:t xml:space="preserve"> addresses this systems-level gap for existing drugs through modular outputs and explicit per-prediction confidence reporting. Its contribution should therefore be framed as integration, transparency, and evidence separation—not as a claim of state-of-the-art accuracy for every component [^</w:t>
      </w:r>
      <w:proofErr w:type="gramStart"/>
      <w:r>
        <w:t>1][</w:t>
      </w:r>
      <w:proofErr w:type="gramEnd"/>
      <w:r>
        <w:t>^3][^4][^8].</w:t>
      </w:r>
    </w:p>
    <w:p w14:paraId="338ADBDE" w14:textId="77777777" w:rsidR="00246E26" w:rsidRDefault="00246E26" w:rsidP="00246E26"/>
    <w:p w14:paraId="71219775" w14:textId="77777777" w:rsidR="00246E26" w:rsidRDefault="00246E26" w:rsidP="00246E26">
      <w:r>
        <w:lastRenderedPageBreak/>
        <w:t>### References</w:t>
      </w:r>
    </w:p>
    <w:p w14:paraId="30BC4C1B" w14:textId="77777777" w:rsidR="00246E26" w:rsidRDefault="00246E26" w:rsidP="00246E26"/>
    <w:p w14:paraId="42C0712A" w14:textId="77777777" w:rsidR="00246E26" w:rsidRDefault="00246E26" w:rsidP="00246E26">
      <w:r>
        <w:t xml:space="preserve">[1] </w:t>
      </w:r>
      <w:proofErr w:type="spellStart"/>
      <w:r>
        <w:t>Öztürk</w:t>
      </w:r>
      <w:proofErr w:type="spellEnd"/>
      <w:r>
        <w:t xml:space="preserve"> H, Özgür A, </w:t>
      </w:r>
      <w:proofErr w:type="spellStart"/>
      <w:r>
        <w:t>Ozkirimli</w:t>
      </w:r>
      <w:proofErr w:type="spellEnd"/>
      <w:r>
        <w:t xml:space="preserve"> E. </w:t>
      </w:r>
      <w:proofErr w:type="spellStart"/>
      <w:r>
        <w:t>DeepDTA</w:t>
      </w:r>
      <w:proofErr w:type="spellEnd"/>
      <w:r>
        <w:t xml:space="preserve">: deep drug–target binding affinity prediction. *Bioinformatics*. 2018. Benchmark formulation discussed in </w:t>
      </w:r>
      <w:proofErr w:type="spellStart"/>
      <w:r>
        <w:t>GraphDTA</w:t>
      </w:r>
      <w:proofErr w:type="spellEnd"/>
      <w:r>
        <w:t xml:space="preserve"> and </w:t>
      </w:r>
      <w:proofErr w:type="spellStart"/>
      <w:r>
        <w:t>MGraphDTA</w:t>
      </w:r>
      <w:proofErr w:type="spellEnd"/>
      <w:r>
        <w:t xml:space="preserve"> [^1].</w:t>
      </w:r>
    </w:p>
    <w:p w14:paraId="6BC22B6D" w14:textId="77777777" w:rsidR="00246E26" w:rsidRDefault="00246E26" w:rsidP="00246E26"/>
    <w:p w14:paraId="1308E644" w14:textId="77777777" w:rsidR="00246E26" w:rsidRDefault="00246E26" w:rsidP="00246E26">
      <w:r>
        <w:t xml:space="preserve">[2] Nguyen T, Le H, Quinn TP, et al. </w:t>
      </w:r>
      <w:proofErr w:type="spellStart"/>
      <w:r>
        <w:t>GraphDTA</w:t>
      </w:r>
      <w:proofErr w:type="spellEnd"/>
      <w:r>
        <w:t>: predicting drug–target affinity with graph neural networks. *Bioinformatics*. 2021. [^1]</w:t>
      </w:r>
    </w:p>
    <w:p w14:paraId="5776874F" w14:textId="77777777" w:rsidR="00246E26" w:rsidRDefault="00246E26" w:rsidP="00246E26"/>
    <w:p w14:paraId="7931BBE9" w14:textId="77777777" w:rsidR="00246E26" w:rsidRDefault="00246E26" w:rsidP="00246E26">
      <w:r>
        <w:t xml:space="preserve">[3] Yang Z, Zhong W, Zhao L, et al. </w:t>
      </w:r>
      <w:proofErr w:type="spellStart"/>
      <w:r>
        <w:t>MGraphDTA</w:t>
      </w:r>
      <w:proofErr w:type="spellEnd"/>
      <w:r>
        <w:t>: deep multiscale graph neural network for explainable drug-target binding affinity prediction. 2022. [^2]</w:t>
      </w:r>
    </w:p>
    <w:p w14:paraId="0402CE29" w14:textId="77777777" w:rsidR="00246E26" w:rsidRDefault="00246E26" w:rsidP="00246E26"/>
    <w:p w14:paraId="7AABBFC0" w14:textId="77777777" w:rsidR="00246E26" w:rsidRDefault="00246E26" w:rsidP="00246E26">
      <w:r>
        <w:t>[4] Yu L, Xu Z, Qiu W, Xiao X. Predicting drug-side effects based on multi-scale features and deep multi-structure neural network. 2023. [^3]</w:t>
      </w:r>
    </w:p>
    <w:p w14:paraId="29E8262F" w14:textId="77777777" w:rsidR="00246E26" w:rsidRDefault="00246E26" w:rsidP="00246E26"/>
    <w:p w14:paraId="4A0D8F3F" w14:textId="77777777" w:rsidR="00246E26" w:rsidRDefault="00246E26" w:rsidP="00246E26">
      <w:r>
        <w:t xml:space="preserve">[5] </w:t>
      </w:r>
      <w:proofErr w:type="spellStart"/>
      <w:r>
        <w:t>Arshed</w:t>
      </w:r>
      <w:proofErr w:type="spellEnd"/>
      <w:r>
        <w:t xml:space="preserve"> MA, Mumtaz S, Riaz O, et al. A deep learning framework for multi-drug side effects prediction with drug chemical substructure. [^3]</w:t>
      </w:r>
    </w:p>
    <w:p w14:paraId="053D4A3E" w14:textId="77777777" w:rsidR="00246E26" w:rsidRDefault="00246E26" w:rsidP="00246E26"/>
    <w:p w14:paraId="1B55E4A6" w14:textId="77777777" w:rsidR="00246E26" w:rsidRDefault="00246E26" w:rsidP="00246E26">
      <w:r>
        <w:t>[6] Li X, Xiong Z, Zhang W, Liu S. Deep learning for drug-drug interaction prediction: a comprehensive review. [^4]</w:t>
      </w:r>
    </w:p>
    <w:p w14:paraId="493169A7" w14:textId="77777777" w:rsidR="00246E26" w:rsidRDefault="00246E26" w:rsidP="00246E26"/>
    <w:p w14:paraId="07AF1219" w14:textId="77777777" w:rsidR="00246E26" w:rsidRDefault="00246E26" w:rsidP="00246E26">
      <w:r>
        <w:t xml:space="preserve">[7] Katie KH, Wong K-C, Chen B, et al. </w:t>
      </w:r>
      <w:proofErr w:type="spellStart"/>
      <w:r>
        <w:t>SmileGNN</w:t>
      </w:r>
      <w:proofErr w:type="spellEnd"/>
      <w:r>
        <w:t>: drug-drug interaction prediction based on the SMILES and graph neural network. 2022. [^5]</w:t>
      </w:r>
    </w:p>
    <w:p w14:paraId="6256082B" w14:textId="77777777" w:rsidR="00246E26" w:rsidRDefault="00246E26" w:rsidP="00246E26"/>
    <w:p w14:paraId="19845794" w14:textId="77777777" w:rsidR="00246E26" w:rsidRDefault="00246E26" w:rsidP="00246E26">
      <w:r>
        <w:t xml:space="preserve">[8] Xiong G, Yang Z, Yi J, et al. </w:t>
      </w:r>
      <w:proofErr w:type="spellStart"/>
      <w:r>
        <w:t>DDInter</w:t>
      </w:r>
      <w:proofErr w:type="spellEnd"/>
      <w:r>
        <w:t>: an online drug-drug interaction database towards improving clinical decision-making and patient safety. *Nucleic Acids Research*. 2022. [^6]</w:t>
      </w:r>
    </w:p>
    <w:p w14:paraId="05208935" w14:textId="77777777" w:rsidR="00246E26" w:rsidRDefault="00246E26" w:rsidP="00246E26"/>
    <w:p w14:paraId="4C3C71D2" w14:textId="77777777" w:rsidR="00246E26" w:rsidRDefault="00246E26" w:rsidP="00246E26">
      <w:r>
        <w:t xml:space="preserve">[9] </w:t>
      </w:r>
      <w:proofErr w:type="spellStart"/>
      <w:r>
        <w:t>Petschner</w:t>
      </w:r>
      <w:proofErr w:type="spellEnd"/>
      <w:r>
        <w:t xml:space="preserve"> P, Nguyen AD, Nguyen CH, </w:t>
      </w:r>
      <w:proofErr w:type="spellStart"/>
      <w:r>
        <w:t>Mamitsuka</w:t>
      </w:r>
      <w:proofErr w:type="spellEnd"/>
      <w:r>
        <w:t xml:space="preserve"> H. Machine learning for predicting drug-drug interactions: graph neural networks and beyond. 2025. [^7]</w:t>
      </w:r>
    </w:p>
    <w:p w14:paraId="45E76EA3" w14:textId="77777777" w:rsidR="00246E26" w:rsidRDefault="00246E26" w:rsidP="00246E26"/>
    <w:p w14:paraId="5A8C4BE3" w14:textId="77777777" w:rsidR="00246E26" w:rsidRDefault="00246E26" w:rsidP="00246E26">
      <w:r>
        <w:t xml:space="preserve">[10] </w:t>
      </w:r>
      <w:proofErr w:type="spellStart"/>
      <w:r>
        <w:t>Dauner</w:t>
      </w:r>
      <w:proofErr w:type="spellEnd"/>
      <w:r>
        <w:t xml:space="preserve"> DG, Leal E, Adam TJ, et al. Therapeutic advances in drug safety: evaluation of four machine learning models for signal detection. [^8]</w:t>
      </w:r>
    </w:p>
    <w:p w14:paraId="53483A27" w14:textId="77777777" w:rsidR="00246E26" w:rsidRDefault="00246E26" w:rsidP="00246E26"/>
    <w:p w14:paraId="14EBB938" w14:textId="77777777" w:rsidR="00246E26" w:rsidRDefault="00246E26" w:rsidP="00246E26">
      <w:r>
        <w:t>[11] Roberts-Nuttall J, Jones AM, Castellani M, Pham D. An interpretable machine learning framework for adverse drug reaction prediction from drug-target interactions. 2026. [^9]</w:t>
      </w:r>
    </w:p>
    <w:p w14:paraId="322D6506" w14:textId="77777777" w:rsidR="00246E26" w:rsidRDefault="00246E26" w:rsidP="00246E26"/>
    <w:p w14:paraId="12895C31" w14:textId="77777777" w:rsidR="00246E26" w:rsidRDefault="00246E26" w:rsidP="00246E26"/>
    <w:p w14:paraId="3AA28271" w14:textId="77777777" w:rsidR="00246E26" w:rsidRDefault="00246E26" w:rsidP="00246E26">
      <w:r>
        <w:t>[^1]: Nguyen et al. Systems biology.</w:t>
      </w:r>
    </w:p>
    <w:p w14:paraId="0772FD33" w14:textId="77777777" w:rsidR="00246E26" w:rsidRDefault="00246E26" w:rsidP="00246E26"/>
    <w:p w14:paraId="61684054" w14:textId="77777777" w:rsidR="00246E26" w:rsidRDefault="00246E26" w:rsidP="00246E26">
      <w:r>
        <w:t xml:space="preserve">[^2]: Yang et al. </w:t>
      </w:r>
      <w:proofErr w:type="spellStart"/>
      <w:r>
        <w:t>MGraphDTA</w:t>
      </w:r>
      <w:proofErr w:type="spellEnd"/>
      <w:r>
        <w:t>: deep multiscale graph neural network for explainable drug-target binding affinity prediction †.</w:t>
      </w:r>
    </w:p>
    <w:p w14:paraId="7778B632" w14:textId="77777777" w:rsidR="00246E26" w:rsidRDefault="00246E26" w:rsidP="00246E26"/>
    <w:p w14:paraId="6CF29AA4" w14:textId="77777777" w:rsidR="00246E26" w:rsidRDefault="00246E26" w:rsidP="00246E26">
      <w:r>
        <w:t>[^3]: Yu et al., 2023. Predicting drug-side effects based on multi-scale features and deep multi-structure neural network.</w:t>
      </w:r>
    </w:p>
    <w:p w14:paraId="322376CC" w14:textId="77777777" w:rsidR="00246E26" w:rsidRDefault="00246E26" w:rsidP="00246E26"/>
    <w:p w14:paraId="15913545" w14:textId="77777777" w:rsidR="00246E26" w:rsidRDefault="00246E26" w:rsidP="00246E26">
      <w:r>
        <w:t>[^4]: Li et al. Deep learning for drug-drug interaction prediction: A comprehensive review.</w:t>
      </w:r>
    </w:p>
    <w:p w14:paraId="7EB564A4" w14:textId="77777777" w:rsidR="00246E26" w:rsidRDefault="00246E26" w:rsidP="00246E26"/>
    <w:p w14:paraId="0FE2D9D9" w14:textId="77777777" w:rsidR="00246E26" w:rsidRDefault="00246E26" w:rsidP="00246E26">
      <w:r>
        <w:t xml:space="preserve">[^5]: Katie et al., 2022. </w:t>
      </w:r>
      <w:proofErr w:type="spellStart"/>
      <w:r>
        <w:t>SmileGNN</w:t>
      </w:r>
      <w:proofErr w:type="spellEnd"/>
      <w:r>
        <w:t>: Drug-Drug Interaction Prediction Based on the SMILES and Graph Neural Network.</w:t>
      </w:r>
    </w:p>
    <w:p w14:paraId="0CCC0D76" w14:textId="77777777" w:rsidR="00246E26" w:rsidRDefault="00246E26" w:rsidP="00246E26"/>
    <w:p w14:paraId="0B2D211E" w14:textId="77777777" w:rsidR="00246E26" w:rsidRDefault="00246E26" w:rsidP="00246E26">
      <w:r>
        <w:t xml:space="preserve">[^6]: Xiong et al., 2026. </w:t>
      </w:r>
      <w:proofErr w:type="spellStart"/>
      <w:r>
        <w:t>DDInter</w:t>
      </w:r>
      <w:proofErr w:type="spellEnd"/>
      <w:r>
        <w:t>: an online drug-drug interaction database towards improving clinical decision-making and patient safety.</w:t>
      </w:r>
    </w:p>
    <w:p w14:paraId="5D5C26AE" w14:textId="77777777" w:rsidR="00246E26" w:rsidRDefault="00246E26" w:rsidP="00246E26"/>
    <w:p w14:paraId="3344D68D" w14:textId="77777777" w:rsidR="00246E26" w:rsidRDefault="00246E26" w:rsidP="00246E26">
      <w:r>
        <w:t xml:space="preserve">[^7]: </w:t>
      </w:r>
      <w:proofErr w:type="spellStart"/>
      <w:r>
        <w:t>Petschner</w:t>
      </w:r>
      <w:proofErr w:type="spellEnd"/>
      <w:r>
        <w:t xml:space="preserve"> et al., 2025. Machine learning for predicting drug-drug interactions: Graph neural networks and beyond.</w:t>
      </w:r>
    </w:p>
    <w:p w14:paraId="72E7A3EE" w14:textId="77777777" w:rsidR="00246E26" w:rsidRDefault="00246E26" w:rsidP="00246E26"/>
    <w:p w14:paraId="3B88D0F4" w14:textId="77777777" w:rsidR="00246E26" w:rsidRDefault="00246E26" w:rsidP="00246E26">
      <w:r>
        <w:lastRenderedPageBreak/>
        <w:t xml:space="preserve">[^8]: </w:t>
      </w:r>
      <w:proofErr w:type="spellStart"/>
      <w:r>
        <w:t>Dauner</w:t>
      </w:r>
      <w:proofErr w:type="spellEnd"/>
      <w:r>
        <w:t xml:space="preserve"> et al. </w:t>
      </w:r>
      <w:proofErr w:type="spellStart"/>
      <w:r>
        <w:t>TherapeuTic</w:t>
      </w:r>
      <w:proofErr w:type="spellEnd"/>
      <w:r>
        <w:t xml:space="preserve"> advances in drug safety Evaluation of four machine learning models for signal detection.</w:t>
      </w:r>
    </w:p>
    <w:p w14:paraId="0AC50546" w14:textId="77777777" w:rsidR="00246E26" w:rsidRDefault="00246E26" w:rsidP="00246E26"/>
    <w:p w14:paraId="00399066" w14:textId="4367FFBC" w:rsidR="00246E26" w:rsidRDefault="00246E26" w:rsidP="00246E26">
      <w:r>
        <w:t>[^9]: Roberts-Nuttall et al., 2026. An interpretable machine learning framework for adverse drug reaction prediction from drug-target interactions.</w:t>
      </w:r>
    </w:p>
    <w:sectPr w:rsidR="00246E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E26"/>
    <w:rsid w:val="00037810"/>
    <w:rsid w:val="00246E26"/>
    <w:rsid w:val="00566B07"/>
    <w:rsid w:val="00897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3D2B8"/>
  <w15:chartTrackingRefBased/>
  <w15:docId w15:val="{FF09F213-59F3-4C21-B73B-766308EC2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E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E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E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E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E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6E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E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E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E26"/>
    <w:rPr>
      <w:rFonts w:eastAsiaTheme="majorEastAsia" w:cstheme="majorBidi"/>
      <w:color w:val="272727" w:themeColor="text1" w:themeTint="D8"/>
    </w:rPr>
  </w:style>
  <w:style w:type="paragraph" w:styleId="Title">
    <w:name w:val="Title"/>
    <w:basedOn w:val="Normal"/>
    <w:next w:val="Normal"/>
    <w:link w:val="TitleChar"/>
    <w:uiPriority w:val="10"/>
    <w:qFormat/>
    <w:rsid w:val="00246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E26"/>
    <w:pPr>
      <w:spacing w:before="160"/>
      <w:jc w:val="center"/>
    </w:pPr>
    <w:rPr>
      <w:i/>
      <w:iCs/>
      <w:color w:val="404040" w:themeColor="text1" w:themeTint="BF"/>
    </w:rPr>
  </w:style>
  <w:style w:type="character" w:customStyle="1" w:styleId="QuoteChar">
    <w:name w:val="Quote Char"/>
    <w:basedOn w:val="DefaultParagraphFont"/>
    <w:link w:val="Quote"/>
    <w:uiPriority w:val="29"/>
    <w:rsid w:val="00246E26"/>
    <w:rPr>
      <w:i/>
      <w:iCs/>
      <w:color w:val="404040" w:themeColor="text1" w:themeTint="BF"/>
    </w:rPr>
  </w:style>
  <w:style w:type="paragraph" w:styleId="ListParagraph">
    <w:name w:val="List Paragraph"/>
    <w:basedOn w:val="Normal"/>
    <w:uiPriority w:val="34"/>
    <w:qFormat/>
    <w:rsid w:val="00246E26"/>
    <w:pPr>
      <w:ind w:left="720"/>
      <w:contextualSpacing/>
    </w:pPr>
  </w:style>
  <w:style w:type="character" w:styleId="IntenseEmphasis">
    <w:name w:val="Intense Emphasis"/>
    <w:basedOn w:val="DefaultParagraphFont"/>
    <w:uiPriority w:val="21"/>
    <w:qFormat/>
    <w:rsid w:val="00246E26"/>
    <w:rPr>
      <w:i/>
      <w:iCs/>
      <w:color w:val="0F4761" w:themeColor="accent1" w:themeShade="BF"/>
    </w:rPr>
  </w:style>
  <w:style w:type="paragraph" w:styleId="IntenseQuote">
    <w:name w:val="Intense Quote"/>
    <w:basedOn w:val="Normal"/>
    <w:next w:val="Normal"/>
    <w:link w:val="IntenseQuoteChar"/>
    <w:uiPriority w:val="30"/>
    <w:qFormat/>
    <w:rsid w:val="00246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E26"/>
    <w:rPr>
      <w:i/>
      <w:iCs/>
      <w:color w:val="0F4761" w:themeColor="accent1" w:themeShade="BF"/>
    </w:rPr>
  </w:style>
  <w:style w:type="character" w:styleId="IntenseReference">
    <w:name w:val="Intense Reference"/>
    <w:basedOn w:val="DefaultParagraphFont"/>
    <w:uiPriority w:val="32"/>
    <w:qFormat/>
    <w:rsid w:val="00246E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1527</Words>
  <Characters>8709</Characters>
  <Application>Microsoft Office Word</Application>
  <DocSecurity>0</DocSecurity>
  <Lines>72</Lines>
  <Paragraphs>20</Paragraphs>
  <ScaleCrop>false</ScaleCrop>
  <Company/>
  <LinksUpToDate>false</LinksUpToDate>
  <CharactersWithSpaces>10216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SHALINI KANNAN (Student)</dc:creator>
  <cp:keywords/>
  <dc:description/>
  <cp:lastModifiedBy>SHALINI KANNAN (Student)</cp:lastModifiedBy>
  <cp:revision>1</cp:revision>
  <dcterms:created xsi:type="dcterms:W3CDTF">2026-08-17T15:20:00Z</dcterms:created>
  <dcterms:modified xsi:type="dcterms:W3CDTF">2026-08-17T15:25:00Z</dcterms:modified>
</cp:coreProperties>
</file>