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5B3C6" w14:textId="71C66FC1" w:rsidR="00566B07" w:rsidRDefault="00E75F58">
      <w:r>
        <w:t>Drug mirror – Introduction</w:t>
      </w:r>
    </w:p>
    <w:p w14:paraId="44AAA945" w14:textId="77777777" w:rsidR="00E75F58" w:rsidRDefault="00E75F58" w:rsidP="00E75F58">
      <w:r>
        <w:t># Introduction</w:t>
      </w:r>
    </w:p>
    <w:p w14:paraId="622C9634" w14:textId="77777777" w:rsidR="00E75F58" w:rsidRDefault="00E75F58" w:rsidP="00E75F58"/>
    <w:p w14:paraId="638B366F" w14:textId="77777777" w:rsidR="00E75F58" w:rsidRDefault="00E75F58" w:rsidP="00E75F58">
      <w:r>
        <w:t>Drug safety is multidimensional. A drug’s intended pharmacology depends on interactions with biological targets, but the same chemical properties may also contribute to adverse reactions or harmful interactions with co-administered medicines. Binding affinity, single-drug side effects, drug–drug interactions (DDIs), and post-marketing pharmacovigilance have developed as distinct research areas with different datasets, labels, metrics, and uncertainties [1–4] [^</w:t>
      </w:r>
      <w:proofErr w:type="gramStart"/>
      <w:r>
        <w:t>1][</w:t>
      </w:r>
      <w:proofErr w:type="gramEnd"/>
      <w:r>
        <w:t>^2][^3][^4]. No single output therefore provides a complete safety profile.</w:t>
      </w:r>
    </w:p>
    <w:p w14:paraId="6EB42F97" w14:textId="77777777" w:rsidR="00E75F58" w:rsidRDefault="00E75F58" w:rsidP="00E75F58"/>
    <w:p w14:paraId="1192A9F2" w14:textId="77777777" w:rsidR="00E75F58" w:rsidRDefault="00E75F58" w:rsidP="00E75F58">
      <w:r>
        <w:t>Drug–target affinity (DTA) prediction estimates interaction strength using measures such as $$</w:t>
      </w:r>
      <w:proofErr w:type="spellStart"/>
      <w:r>
        <w:t>K_d</w:t>
      </w:r>
      <w:proofErr w:type="spellEnd"/>
      <w:r>
        <w:t>$$, $$</w:t>
      </w:r>
      <w:proofErr w:type="spellStart"/>
      <w:r>
        <w:t>K_i</w:t>
      </w:r>
      <w:proofErr w:type="spellEnd"/>
      <w:r>
        <w:t xml:space="preserve">$$, or related activity values. Experimental measurement is informative but costly and difficult to scale, motivating computational methods [5] [^5]. </w:t>
      </w:r>
      <w:proofErr w:type="spellStart"/>
      <w:r>
        <w:t>DeepDTA</w:t>
      </w:r>
      <w:proofErr w:type="spellEnd"/>
      <w:r>
        <w:t xml:space="preserve"> established a sequence-based formulation, while </w:t>
      </w:r>
      <w:proofErr w:type="spellStart"/>
      <w:r>
        <w:t>GraphDTA</w:t>
      </w:r>
      <w:proofErr w:type="spellEnd"/>
      <w:r>
        <w:t xml:space="preserve"> showed that molecular graphs preserve atom–bond relationships that are not explicit in strings [6,7] [^1]. </w:t>
      </w:r>
      <w:proofErr w:type="spellStart"/>
      <w:r>
        <w:t>MGraphDTA</w:t>
      </w:r>
      <w:proofErr w:type="spellEnd"/>
      <w:r>
        <w:t xml:space="preserve"> extended this direction with multiscale graph networks and atom-level explanations [8] [^5]. Yet orphan-drug, orphan-target, and cluster-based splits produce substantially lower performance than random splits, showing that generalization to unseen structures remains difficult [8] [^5].</w:t>
      </w:r>
    </w:p>
    <w:p w14:paraId="428E6695" w14:textId="77777777" w:rsidR="00E75F58" w:rsidRDefault="00E75F58" w:rsidP="00E75F58"/>
    <w:p w14:paraId="6C022869" w14:textId="77777777" w:rsidR="00E75F58" w:rsidRDefault="00E75F58" w:rsidP="00E75F58">
      <w:r>
        <w:t>Single-drug side-effect prediction provides a second safety perspective. Earlier approaches used biological and association networks, whereas structure-based methods infer adverse-effect associations directly from molecular representations. Yu et al.’s MSDSE combines SMILES embeddings, molecular fingerprints, and graph embeddings through convolutional and self-attention modules [9] [^2]. Its ablation analysis highlighted fingerprints and chemical-structure embeddings, while performance varied with the amount of known side-effect information [9] [^2]. These findings support structure-based prediction but also expose label sparsity and imbalance.</w:t>
      </w:r>
    </w:p>
    <w:p w14:paraId="29D52C85" w14:textId="77777777" w:rsidR="00E75F58" w:rsidRDefault="00E75F58" w:rsidP="00E75F58"/>
    <w:p w14:paraId="7219C534" w14:textId="77777777" w:rsidR="00E75F58" w:rsidRDefault="00E75F58" w:rsidP="00E75F58">
      <w:r>
        <w:t>DDI prediction addresses whether one drug changes the effects, exposure, or toxicity of another. Methods include structural-similarity models, graph-neural networks, knowledge graphs, and multimodal systems incorporating biological entities [10,11] [^</w:t>
      </w:r>
      <w:proofErr w:type="gramStart"/>
      <w:r>
        <w:t>3][</w:t>
      </w:r>
      <w:proofErr w:type="gramEnd"/>
      <w:r>
        <w:t xml:space="preserve">^6]. </w:t>
      </w:r>
      <w:proofErr w:type="spellStart"/>
      <w:r>
        <w:t>SmileGNN</w:t>
      </w:r>
      <w:proofErr w:type="spellEnd"/>
      <w:r>
        <w:t xml:space="preserve"> combines SMILES features with knowledge-graph topology and reported </w:t>
      </w:r>
      <w:r>
        <w:lastRenderedPageBreak/>
        <w:t xml:space="preserve">improved performance over </w:t>
      </w:r>
      <w:proofErr w:type="spellStart"/>
      <w:r>
        <w:t>DeepDDI</w:t>
      </w:r>
      <w:proofErr w:type="spellEnd"/>
      <w:r>
        <w:t xml:space="preserve"> and Decagon [12] [^7]. However, a pair absent from a database is not necessarily non-interacting, making negative-pair construction a major problem [12] [^7]. </w:t>
      </w:r>
      <w:proofErr w:type="spellStart"/>
      <w:r>
        <w:t>DDInter</w:t>
      </w:r>
      <w:proofErr w:type="spellEnd"/>
      <w:r>
        <w:t xml:space="preserve"> provides a clinically grounded reference, with approximately 236,834 associations across 1,833 approved drugs and pharmacist-reviewed severity and mechanism annotations [13] [^8]. Its authors nevertheless note subjective severity standards, incomplete coverage, and the exclusion of three-or-more-drug interactions [13] [^8].</w:t>
      </w:r>
    </w:p>
    <w:p w14:paraId="61AF4264" w14:textId="77777777" w:rsidR="00E75F58" w:rsidRDefault="00E75F58" w:rsidP="00E75F58"/>
    <w:p w14:paraId="1B92E2C0" w14:textId="77777777" w:rsidR="00E75F58" w:rsidRDefault="00E75F58" w:rsidP="00E75F58">
      <w:r>
        <w:t>Post-marketing pharmacovigilance adds evidence from broader real-world use. Disproportionality methods such as the proportional reporting ratio (PRR) measure whether a drug–event combination is reported more frequently than expected in a spontaneous-report database. Such measures support signal detection but are not incidence estimates and do not establish causality. A FAERS study comparing logistic regression, gradient-boosted trees, random forest, and support-vector machines found that performance depended on class balancing and reference-set construction, while adding case-report information improved performance over disproportionality alone [14] [^4]. Spontaneous reports remain affected by under-reporting, indication and co-prescription bias, missing data, duplicates, and absent causal verification [14] [^4].</w:t>
      </w:r>
    </w:p>
    <w:p w14:paraId="6D11B338" w14:textId="77777777" w:rsidR="00E75F58" w:rsidRDefault="00E75F58" w:rsidP="00E75F58"/>
    <w:p w14:paraId="5B155285" w14:textId="77777777" w:rsidR="00E75F58" w:rsidRDefault="00E75F58" w:rsidP="00E75F58">
      <w:r>
        <w:t>Despite progress in each area, these tasks are commonly developed and evaluated as independent systems. Existing multimodal methods generally combine several data types within one prediction task rather than presenting DTA, side-effect prediction, severity-aware DDI prediction, and real-world disproportionality analysis together for the same drugs [1–4] [^</w:t>
      </w:r>
      <w:proofErr w:type="gramStart"/>
      <w:r>
        <w:t>1][</w:t>
      </w:r>
      <w:proofErr w:type="gramEnd"/>
      <w:r>
        <w:t>^2][^3][^4].</w:t>
      </w:r>
    </w:p>
    <w:p w14:paraId="5C0B96CD" w14:textId="77777777" w:rsidR="00E75F58" w:rsidRDefault="00E75F58" w:rsidP="00E75F58"/>
    <w:p w14:paraId="43A5122F" w14:textId="77777777" w:rsidR="00E75F58" w:rsidRDefault="00E75F58" w:rsidP="00E75F58">
      <w:r>
        <w:t>To address this gap, we developed **</w:t>
      </w:r>
      <w:proofErr w:type="spellStart"/>
      <w:r>
        <w:t>DrugMirror</w:t>
      </w:r>
      <w:proofErr w:type="spellEnd"/>
      <w:r>
        <w:t>**, a modular safety-assessment framework for existing and sufficiently characterized drugs. It combines (</w:t>
      </w:r>
      <w:proofErr w:type="spellStart"/>
      <w:r>
        <w:t>i</w:t>
      </w:r>
      <w:proofErr w:type="spellEnd"/>
      <w:r>
        <w:t>) binding-affinity prediction, (ii) single-drug side-effect prediction, (iii) severity-aware DDI prediction, and (iv) FAERS-based adverse-event recalibration using PRR. The system uses lightweight representations and emphasizes integration rather than state-of-the-art performance on every task. Its central design principle is explicit confidence reporting: outputs are tagged as database-derived, model-predicted, or insufficiently supported, helping prevent model probabilities from being mistaken for clinical evidence.</w:t>
      </w:r>
    </w:p>
    <w:p w14:paraId="2EB77B81" w14:textId="77777777" w:rsidR="00E75F58" w:rsidRDefault="00E75F58" w:rsidP="00E75F58"/>
    <w:p w14:paraId="5009C2F4" w14:textId="77777777" w:rsidR="00E75F58" w:rsidRDefault="00E75F58" w:rsidP="00E75F58">
      <w:proofErr w:type="spellStart"/>
      <w:r>
        <w:lastRenderedPageBreak/>
        <w:t>DrugMirror</w:t>
      </w:r>
      <w:proofErr w:type="spellEnd"/>
      <w:r>
        <w:t xml:space="preserve"> is not a drug-discovery system and does not generate novel molecules. It is a research tool, not a replacement for clinical evaluation, regulatory assessment, established pharmacovigilance, or clinical decision support. Its contribution is integrating safety-relevant tasks while preserving the distinct meaning and limitations of each output.</w:t>
      </w:r>
    </w:p>
    <w:p w14:paraId="2188E23C" w14:textId="77777777" w:rsidR="00E75F58" w:rsidRDefault="00E75F58" w:rsidP="00E75F58"/>
    <w:p w14:paraId="1B5BD83D" w14:textId="77777777" w:rsidR="00E75F58" w:rsidRDefault="00E75F58" w:rsidP="00E75F58">
      <w:r>
        <w:t>## References</w:t>
      </w:r>
    </w:p>
    <w:p w14:paraId="2D8357BB" w14:textId="77777777" w:rsidR="00E75F58" w:rsidRDefault="00E75F58" w:rsidP="00E75F58"/>
    <w:p w14:paraId="22C963EC" w14:textId="77777777" w:rsidR="00E75F58" w:rsidRDefault="00E75F58" w:rsidP="00E75F58">
      <w:r>
        <w:t xml:space="preserve">[1] Nguyen T, Le H, Quinn TP, et al. </w:t>
      </w:r>
      <w:proofErr w:type="spellStart"/>
      <w:r>
        <w:t>GraphDTA</w:t>
      </w:r>
      <w:proofErr w:type="spellEnd"/>
      <w:r>
        <w:t>: predicting drug–target affinity with graph neural networks. *Bioinformatics*. 2021.</w:t>
      </w:r>
    </w:p>
    <w:p w14:paraId="230B170C" w14:textId="77777777" w:rsidR="00E75F58" w:rsidRDefault="00E75F58" w:rsidP="00E75F58"/>
    <w:p w14:paraId="7B7FF7AE" w14:textId="77777777" w:rsidR="00E75F58" w:rsidRDefault="00E75F58" w:rsidP="00E75F58">
      <w:r>
        <w:t>[2] Yu L, Xu Z, Qiu W, Xiao X. Predicting drug-side effects based on multi-scale features and deep multi-structure neural network. 2023.</w:t>
      </w:r>
    </w:p>
    <w:p w14:paraId="774DC39F" w14:textId="77777777" w:rsidR="00E75F58" w:rsidRDefault="00E75F58" w:rsidP="00E75F58"/>
    <w:p w14:paraId="7D569CE0" w14:textId="77777777" w:rsidR="00E75F58" w:rsidRDefault="00E75F58" w:rsidP="00E75F58">
      <w:r>
        <w:t>[3] Li X, Xiong Z, Zhang W, Liu S. Deep learning for drug-drug interaction prediction: a comprehensive review.</w:t>
      </w:r>
    </w:p>
    <w:p w14:paraId="7ECD2FC9" w14:textId="77777777" w:rsidR="00E75F58" w:rsidRDefault="00E75F58" w:rsidP="00E75F58"/>
    <w:p w14:paraId="20AF4050" w14:textId="77777777" w:rsidR="00E75F58" w:rsidRDefault="00E75F58" w:rsidP="00E75F58">
      <w:r>
        <w:t xml:space="preserve">[4] </w:t>
      </w:r>
      <w:proofErr w:type="spellStart"/>
      <w:r>
        <w:t>Dauner</w:t>
      </w:r>
      <w:proofErr w:type="spellEnd"/>
      <w:r>
        <w:t xml:space="preserve"> DG, Leal E, Adam TJ, et al. Therapeutic advances in drug safety: evaluation of four machine learning models for signal detection.</w:t>
      </w:r>
    </w:p>
    <w:p w14:paraId="7E42EE23" w14:textId="77777777" w:rsidR="00E75F58" w:rsidRDefault="00E75F58" w:rsidP="00E75F58"/>
    <w:p w14:paraId="68B6B3F1" w14:textId="77777777" w:rsidR="00E75F58" w:rsidRDefault="00E75F58" w:rsidP="00E75F58">
      <w:r>
        <w:t xml:space="preserve">[5] Yang Z, Zhong W, Zhao L, et al. </w:t>
      </w:r>
      <w:proofErr w:type="spellStart"/>
      <w:r>
        <w:t>MGraphDTA</w:t>
      </w:r>
      <w:proofErr w:type="spellEnd"/>
      <w:r>
        <w:t>: deep multiscale graph neural network for explainable drug-target binding affinity prediction. 2022.</w:t>
      </w:r>
    </w:p>
    <w:p w14:paraId="44220EE0" w14:textId="77777777" w:rsidR="00E75F58" w:rsidRDefault="00E75F58" w:rsidP="00E75F58"/>
    <w:p w14:paraId="69A1778C" w14:textId="77777777" w:rsidR="00E75F58" w:rsidRDefault="00E75F58" w:rsidP="00E75F58">
      <w:r>
        <w:t xml:space="preserve">[6] </w:t>
      </w:r>
      <w:proofErr w:type="spellStart"/>
      <w:r>
        <w:t>Öztürk</w:t>
      </w:r>
      <w:proofErr w:type="spellEnd"/>
      <w:r>
        <w:t xml:space="preserve"> H, Özgür A, </w:t>
      </w:r>
      <w:proofErr w:type="spellStart"/>
      <w:r>
        <w:t>Ozkirimli</w:t>
      </w:r>
      <w:proofErr w:type="spellEnd"/>
      <w:r>
        <w:t xml:space="preserve"> E. </w:t>
      </w:r>
      <w:proofErr w:type="spellStart"/>
      <w:r>
        <w:t>DeepDTA</w:t>
      </w:r>
      <w:proofErr w:type="spellEnd"/>
      <w:r>
        <w:t>: deep drug–target binding affinity prediction. *Bioinformatics*. 2018.</w:t>
      </w:r>
    </w:p>
    <w:p w14:paraId="72741D55" w14:textId="77777777" w:rsidR="00E75F58" w:rsidRDefault="00E75F58" w:rsidP="00E75F58"/>
    <w:p w14:paraId="6B964029" w14:textId="77777777" w:rsidR="00E75F58" w:rsidRDefault="00E75F58" w:rsidP="00E75F58">
      <w:r>
        <w:t xml:space="preserve">[7] Nguyen T, Le H, Quinn TP, et al. </w:t>
      </w:r>
      <w:proofErr w:type="spellStart"/>
      <w:r>
        <w:t>GraphDTA</w:t>
      </w:r>
      <w:proofErr w:type="spellEnd"/>
      <w:r>
        <w:t>: predicting drug–target affinity with graph neural networks. *Bioinformatics*. 2021.</w:t>
      </w:r>
    </w:p>
    <w:p w14:paraId="7E284F84" w14:textId="77777777" w:rsidR="00E75F58" w:rsidRDefault="00E75F58" w:rsidP="00E75F58"/>
    <w:p w14:paraId="6B7F6713" w14:textId="77777777" w:rsidR="00E75F58" w:rsidRDefault="00E75F58" w:rsidP="00E75F58">
      <w:r>
        <w:lastRenderedPageBreak/>
        <w:t xml:space="preserve">[8] Yang Z, Zhong W, Zhao L, et al. </w:t>
      </w:r>
      <w:proofErr w:type="spellStart"/>
      <w:r>
        <w:t>MGraphDTA</w:t>
      </w:r>
      <w:proofErr w:type="spellEnd"/>
      <w:r>
        <w:t>: deep multiscale graph neural network for explainable drug-target binding affinity prediction. 2022.</w:t>
      </w:r>
    </w:p>
    <w:p w14:paraId="11A221F1" w14:textId="77777777" w:rsidR="00E75F58" w:rsidRDefault="00E75F58" w:rsidP="00E75F58"/>
    <w:p w14:paraId="13FCCC88" w14:textId="77777777" w:rsidR="00E75F58" w:rsidRDefault="00E75F58" w:rsidP="00E75F58">
      <w:r>
        <w:t>[9] Yu L, Xu Z, Qiu W, Xiao X. Predicting drug-side effects based on multi-scale features and deep multi-structure neural network. 2023.</w:t>
      </w:r>
    </w:p>
    <w:p w14:paraId="643F36CD" w14:textId="77777777" w:rsidR="00E75F58" w:rsidRDefault="00E75F58" w:rsidP="00E75F58"/>
    <w:p w14:paraId="6826358E" w14:textId="77777777" w:rsidR="00E75F58" w:rsidRDefault="00E75F58" w:rsidP="00E75F58">
      <w:r>
        <w:t>[10] Li X, Xiong Z, Zhang W, Liu S. Deep learning for drug-drug interaction prediction: a comprehensive review.</w:t>
      </w:r>
    </w:p>
    <w:p w14:paraId="1CE175AF" w14:textId="77777777" w:rsidR="00E75F58" w:rsidRDefault="00E75F58" w:rsidP="00E75F58"/>
    <w:p w14:paraId="106C8009" w14:textId="77777777" w:rsidR="00E75F58" w:rsidRDefault="00E75F58" w:rsidP="00E75F58">
      <w:r>
        <w:t xml:space="preserve">[11] </w:t>
      </w:r>
      <w:proofErr w:type="spellStart"/>
      <w:r>
        <w:t>Petschner</w:t>
      </w:r>
      <w:proofErr w:type="spellEnd"/>
      <w:r>
        <w:t xml:space="preserve"> P, Nguyen AD, Nguyen CH, </w:t>
      </w:r>
      <w:proofErr w:type="spellStart"/>
      <w:r>
        <w:t>Mamitsuka</w:t>
      </w:r>
      <w:proofErr w:type="spellEnd"/>
      <w:r>
        <w:t xml:space="preserve"> H. Machine learning for predicting drug-drug interactions: graph neural networks and beyond. 2025.</w:t>
      </w:r>
    </w:p>
    <w:p w14:paraId="2D789B5C" w14:textId="77777777" w:rsidR="00E75F58" w:rsidRDefault="00E75F58" w:rsidP="00E75F58"/>
    <w:p w14:paraId="06ECD3D8" w14:textId="77777777" w:rsidR="00E75F58" w:rsidRDefault="00E75F58" w:rsidP="00E75F58">
      <w:r>
        <w:t xml:space="preserve">[12] Katie KH, Wong K-C, Chen B, et al. </w:t>
      </w:r>
      <w:proofErr w:type="spellStart"/>
      <w:r>
        <w:t>SmileGNN</w:t>
      </w:r>
      <w:proofErr w:type="spellEnd"/>
      <w:r>
        <w:t>: drug-drug interaction prediction based on the SMILES and graph neural network. 2022.</w:t>
      </w:r>
    </w:p>
    <w:p w14:paraId="4687BA85" w14:textId="77777777" w:rsidR="00E75F58" w:rsidRDefault="00E75F58" w:rsidP="00E75F58"/>
    <w:p w14:paraId="600B4ADE" w14:textId="77777777" w:rsidR="00E75F58" w:rsidRDefault="00E75F58" w:rsidP="00E75F58">
      <w:r>
        <w:t xml:space="preserve">[13] Xiong G, Yang Z, Yi J, et al. </w:t>
      </w:r>
      <w:proofErr w:type="spellStart"/>
      <w:r>
        <w:t>DDInter</w:t>
      </w:r>
      <w:proofErr w:type="spellEnd"/>
      <w:r>
        <w:t>: an online drug-drug interaction database towards improving clinical decision-making and patient safety. *Nucleic Acids Research*. 2022.</w:t>
      </w:r>
    </w:p>
    <w:p w14:paraId="2C441C96" w14:textId="77777777" w:rsidR="00E75F58" w:rsidRDefault="00E75F58" w:rsidP="00E75F58"/>
    <w:p w14:paraId="4C097C96" w14:textId="77777777" w:rsidR="00E75F58" w:rsidRDefault="00E75F58" w:rsidP="00E75F58">
      <w:r>
        <w:t xml:space="preserve">[14] </w:t>
      </w:r>
      <w:proofErr w:type="spellStart"/>
      <w:r>
        <w:t>Dauner</w:t>
      </w:r>
      <w:proofErr w:type="spellEnd"/>
      <w:r>
        <w:t xml:space="preserve"> DG, Leal E, Adam TJ, et al. Therapeutic advances in drug safety: evaluation of four machine learning models for signal detection.</w:t>
      </w:r>
    </w:p>
    <w:p w14:paraId="22FD5505" w14:textId="77777777" w:rsidR="00E75F58" w:rsidRDefault="00E75F58" w:rsidP="00E75F58"/>
    <w:p w14:paraId="6BB36214" w14:textId="77777777" w:rsidR="00E75F58" w:rsidRDefault="00E75F58" w:rsidP="00E75F58"/>
    <w:p w14:paraId="5BC67B1F" w14:textId="77777777" w:rsidR="00E75F58" w:rsidRDefault="00E75F58" w:rsidP="00E75F58">
      <w:r>
        <w:t>[^1]: Nguyen et al. Systems biology.</w:t>
      </w:r>
    </w:p>
    <w:p w14:paraId="686E36CA" w14:textId="77777777" w:rsidR="00E75F58" w:rsidRDefault="00E75F58" w:rsidP="00E75F58"/>
    <w:p w14:paraId="6738DE1D" w14:textId="77777777" w:rsidR="00E75F58" w:rsidRDefault="00E75F58" w:rsidP="00E75F58">
      <w:r>
        <w:t>[^2]: Yu et al., 2023. Predicting drug-side effects based on multi-scale features and deep multi-structure neural network.</w:t>
      </w:r>
    </w:p>
    <w:p w14:paraId="0BADEC9C" w14:textId="77777777" w:rsidR="00E75F58" w:rsidRDefault="00E75F58" w:rsidP="00E75F58"/>
    <w:p w14:paraId="2A5AC9A1" w14:textId="77777777" w:rsidR="00E75F58" w:rsidRDefault="00E75F58" w:rsidP="00E75F58">
      <w:r>
        <w:t>[^3]: Li et al. Deep learning for drug-drug interaction prediction: A comprehensive review.</w:t>
      </w:r>
    </w:p>
    <w:p w14:paraId="77F5FEBA" w14:textId="77777777" w:rsidR="00E75F58" w:rsidRDefault="00E75F58" w:rsidP="00E75F58"/>
    <w:p w14:paraId="333A0C39" w14:textId="77777777" w:rsidR="00E75F58" w:rsidRDefault="00E75F58" w:rsidP="00E75F58">
      <w:r>
        <w:t xml:space="preserve">[^4]: </w:t>
      </w:r>
      <w:proofErr w:type="spellStart"/>
      <w:r>
        <w:t>Dauner</w:t>
      </w:r>
      <w:proofErr w:type="spellEnd"/>
      <w:r>
        <w:t xml:space="preserve"> et al. </w:t>
      </w:r>
      <w:proofErr w:type="spellStart"/>
      <w:r>
        <w:t>TherapeuTic</w:t>
      </w:r>
      <w:proofErr w:type="spellEnd"/>
      <w:r>
        <w:t xml:space="preserve"> advances in drug safety Evaluation of four machine learning models for signal detection.</w:t>
      </w:r>
    </w:p>
    <w:p w14:paraId="54F3BADA" w14:textId="77777777" w:rsidR="00E75F58" w:rsidRDefault="00E75F58" w:rsidP="00E75F58"/>
    <w:p w14:paraId="2554165D" w14:textId="77777777" w:rsidR="00E75F58" w:rsidRDefault="00E75F58" w:rsidP="00E75F58">
      <w:r>
        <w:t xml:space="preserve">[^5]: Yang et al. </w:t>
      </w:r>
      <w:proofErr w:type="spellStart"/>
      <w:r>
        <w:t>MGraphDTA</w:t>
      </w:r>
      <w:proofErr w:type="spellEnd"/>
      <w:r>
        <w:t>: deep multiscale graph neural network for explainable drug-target binding affinity prediction †.</w:t>
      </w:r>
    </w:p>
    <w:p w14:paraId="25EAA71B" w14:textId="77777777" w:rsidR="00E75F58" w:rsidRDefault="00E75F58" w:rsidP="00E75F58"/>
    <w:p w14:paraId="36198EED" w14:textId="77777777" w:rsidR="00E75F58" w:rsidRDefault="00E75F58" w:rsidP="00E75F58">
      <w:r>
        <w:t xml:space="preserve">[^6]: </w:t>
      </w:r>
      <w:proofErr w:type="spellStart"/>
      <w:r>
        <w:t>Petschner</w:t>
      </w:r>
      <w:proofErr w:type="spellEnd"/>
      <w:r>
        <w:t xml:space="preserve"> et al., 2025. Machine learning for predicting drug-drug interactions: Graph neural networks and beyond.</w:t>
      </w:r>
    </w:p>
    <w:p w14:paraId="0D8CE4F4" w14:textId="77777777" w:rsidR="00E75F58" w:rsidRDefault="00E75F58" w:rsidP="00E75F58"/>
    <w:p w14:paraId="713829B9" w14:textId="77777777" w:rsidR="00E75F58" w:rsidRDefault="00E75F58" w:rsidP="00E75F58">
      <w:r>
        <w:t xml:space="preserve">[^7]: Katie et al., 2022. </w:t>
      </w:r>
      <w:proofErr w:type="spellStart"/>
      <w:r>
        <w:t>SmileGNN</w:t>
      </w:r>
      <w:proofErr w:type="spellEnd"/>
      <w:r>
        <w:t>: Drug-Drug Interaction Prediction Based on the SMILES and Graph Neural Network.</w:t>
      </w:r>
    </w:p>
    <w:p w14:paraId="12A58A2F" w14:textId="77777777" w:rsidR="00E75F58" w:rsidRDefault="00E75F58" w:rsidP="00E75F58"/>
    <w:p w14:paraId="08E2BEC8" w14:textId="73B2D6CE" w:rsidR="00E75F58" w:rsidRDefault="00E75F58" w:rsidP="00E75F58">
      <w:r>
        <w:t xml:space="preserve">[^8]: Xiong et al., 2026. </w:t>
      </w:r>
      <w:proofErr w:type="spellStart"/>
      <w:r>
        <w:t>DDInter</w:t>
      </w:r>
      <w:proofErr w:type="spellEnd"/>
      <w:r>
        <w:t>: an online drug-drug interaction database towards improving clinical decision-making and patient safety.</w:t>
      </w:r>
    </w:p>
    <w:sectPr w:rsidR="00E75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F58"/>
    <w:rsid w:val="00472CDC"/>
    <w:rsid w:val="00566B07"/>
    <w:rsid w:val="00897593"/>
    <w:rsid w:val="00E75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D45C3"/>
  <w15:chartTrackingRefBased/>
  <w15:docId w15:val="{203EEFE7-0585-4666-B284-48F5291B2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F58"/>
    <w:rPr>
      <w:rFonts w:eastAsiaTheme="majorEastAsia" w:cstheme="majorBidi"/>
      <w:color w:val="272727" w:themeColor="text1" w:themeTint="D8"/>
    </w:rPr>
  </w:style>
  <w:style w:type="paragraph" w:styleId="Title">
    <w:name w:val="Title"/>
    <w:basedOn w:val="Normal"/>
    <w:next w:val="Normal"/>
    <w:link w:val="TitleChar"/>
    <w:uiPriority w:val="10"/>
    <w:qFormat/>
    <w:rsid w:val="00E75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F58"/>
    <w:pPr>
      <w:spacing w:before="160"/>
      <w:jc w:val="center"/>
    </w:pPr>
    <w:rPr>
      <w:i/>
      <w:iCs/>
      <w:color w:val="404040" w:themeColor="text1" w:themeTint="BF"/>
    </w:rPr>
  </w:style>
  <w:style w:type="character" w:customStyle="1" w:styleId="QuoteChar">
    <w:name w:val="Quote Char"/>
    <w:basedOn w:val="DefaultParagraphFont"/>
    <w:link w:val="Quote"/>
    <w:uiPriority w:val="29"/>
    <w:rsid w:val="00E75F58"/>
    <w:rPr>
      <w:i/>
      <w:iCs/>
      <w:color w:val="404040" w:themeColor="text1" w:themeTint="BF"/>
    </w:rPr>
  </w:style>
  <w:style w:type="paragraph" w:styleId="ListParagraph">
    <w:name w:val="List Paragraph"/>
    <w:basedOn w:val="Normal"/>
    <w:uiPriority w:val="34"/>
    <w:qFormat/>
    <w:rsid w:val="00E75F58"/>
    <w:pPr>
      <w:ind w:left="720"/>
      <w:contextualSpacing/>
    </w:pPr>
  </w:style>
  <w:style w:type="character" w:styleId="IntenseEmphasis">
    <w:name w:val="Intense Emphasis"/>
    <w:basedOn w:val="DefaultParagraphFont"/>
    <w:uiPriority w:val="21"/>
    <w:qFormat/>
    <w:rsid w:val="00E75F58"/>
    <w:rPr>
      <w:i/>
      <w:iCs/>
      <w:color w:val="0F4761" w:themeColor="accent1" w:themeShade="BF"/>
    </w:rPr>
  </w:style>
  <w:style w:type="paragraph" w:styleId="IntenseQuote">
    <w:name w:val="Intense Quote"/>
    <w:basedOn w:val="Normal"/>
    <w:next w:val="Normal"/>
    <w:link w:val="IntenseQuoteChar"/>
    <w:uiPriority w:val="30"/>
    <w:qFormat/>
    <w:rsid w:val="00E75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F58"/>
    <w:rPr>
      <w:i/>
      <w:iCs/>
      <w:color w:val="0F4761" w:themeColor="accent1" w:themeShade="BF"/>
    </w:rPr>
  </w:style>
  <w:style w:type="character" w:styleId="IntenseReference">
    <w:name w:val="Intense Reference"/>
    <w:basedOn w:val="DefaultParagraphFont"/>
    <w:uiPriority w:val="32"/>
    <w:qFormat/>
    <w:rsid w:val="00E75F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1177</Words>
  <Characters>6714</Characters>
  <Application>Microsoft Office Word</Application>
  <DocSecurity>0</DocSecurity>
  <Lines>55</Lines>
  <Paragraphs>15</Paragraphs>
  <ScaleCrop>false</ScaleCrop>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KANNAN (Student)</dc:creator>
  <cp:keywords/>
  <dc:description/>
  <cp:lastModifiedBy>SHALINI KANNAN (Student)</cp:lastModifiedBy>
  <cp:revision>1</cp:revision>
  <dcterms:created xsi:type="dcterms:W3CDTF">2026-08-17T15:34:00Z</dcterms:created>
  <dcterms:modified xsi:type="dcterms:W3CDTF">2026-08-17T15:40:00Z</dcterms:modified>
</cp:coreProperties>
</file>