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A9349" w14:textId="77777777" w:rsidR="00125EC2" w:rsidRPr="00125EC2" w:rsidRDefault="00125EC2" w:rsidP="00125EC2">
      <w:pPr>
        <w:rPr>
          <w:b/>
          <w:bCs/>
        </w:rPr>
      </w:pPr>
      <w:r w:rsidRPr="00125EC2">
        <w:rPr>
          <w:b/>
          <w:bCs/>
        </w:rPr>
        <w:t>Section 1: Binding Affinity — Paper Draft Paragraph</w:t>
      </w:r>
    </w:p>
    <w:p w14:paraId="097136FB" w14:textId="77777777" w:rsidR="00125EC2" w:rsidRPr="00125EC2" w:rsidRDefault="00125EC2" w:rsidP="00125EC2">
      <w:r w:rsidRPr="00125EC2">
        <w:t xml:space="preserve">We developed a drug-target binding affinity prediction model using the Davis benchmark dataset (30,056 drug-protein pairs spanning 68 kinase inhibitors and 442 target proteins). Drug molecules were represented as 1024-bit Morgan fingerprints (radius 2) computed via </w:t>
      </w:r>
      <w:proofErr w:type="spellStart"/>
      <w:r w:rsidRPr="00125EC2">
        <w:t>RDKit</w:t>
      </w:r>
      <w:proofErr w:type="spellEnd"/>
      <w:r w:rsidRPr="00125EC2">
        <w:t xml:space="preserve">, while target proteins were encoded using amino acid composition frequency vectors (20-dimensional), a lightweight alternative to full sequence or structural encoding. These combined features (1044-dimensional) were used to train an </w:t>
      </w:r>
      <w:proofErr w:type="spellStart"/>
      <w:r w:rsidRPr="00125EC2">
        <w:t>XGBoost</w:t>
      </w:r>
      <w:proofErr w:type="spellEnd"/>
      <w:r w:rsidRPr="00125EC2">
        <w:t xml:space="preserve"> regressor (300 estimators, max depth 6, learning rate 0.05) to predict binding affinity (</w:t>
      </w:r>
      <w:proofErr w:type="spellStart"/>
      <w:r w:rsidRPr="00125EC2">
        <w:t>pKd</w:t>
      </w:r>
      <w:proofErr w:type="spellEnd"/>
      <w:r w:rsidRPr="00125EC2">
        <w:t xml:space="preserve">). On a held-out 20% test split, the model achieved MSE = 0.3512, RMSE = 0.5926, MAE = 0.3760, R² = 0.5539, Pearson r = 0.7479, and a Concordance Index (CI) of 0.8425. The CI — the standard ranking-based evaluation metric in drug-target affinity (DTA) literature — approaches the performance ceiling reported for deep graph neural network models (CI ≈ 0.89–0.90), despite using a substantially lighter classical machine learning pipeline. This indicates that fingerprint-based structural features combined with simple protein composition descriptors retain strong relative-ranking capability for binding affinity, which is the property most relevant to virtual screening and drug prioritization tasks, at a fraction of the computational cost of sequence/graph-based deep learning approaches. </w:t>
      </w:r>
      <w:r w:rsidRPr="00125EC2">
        <w:rPr>
          <w:b/>
          <w:bCs/>
        </w:rPr>
        <w:t>Base reference:</w:t>
      </w:r>
      <w:r w:rsidRPr="00125EC2">
        <w:t xml:space="preserve"> </w:t>
      </w:r>
      <w:proofErr w:type="spellStart"/>
      <w:r w:rsidRPr="00125EC2">
        <w:t>Öztürk</w:t>
      </w:r>
      <w:proofErr w:type="spellEnd"/>
      <w:r w:rsidRPr="00125EC2">
        <w:t xml:space="preserve">, Özgür &amp; </w:t>
      </w:r>
      <w:proofErr w:type="spellStart"/>
      <w:r w:rsidRPr="00125EC2">
        <w:t>Ozkirimli</w:t>
      </w:r>
      <w:proofErr w:type="spellEnd"/>
      <w:r w:rsidRPr="00125EC2">
        <w:t xml:space="preserve">, </w:t>
      </w:r>
      <w:r w:rsidRPr="00125EC2">
        <w:rPr>
          <w:i/>
          <w:iCs/>
        </w:rPr>
        <w:t>"</w:t>
      </w:r>
      <w:proofErr w:type="spellStart"/>
      <w:r w:rsidRPr="00125EC2">
        <w:rPr>
          <w:i/>
          <w:iCs/>
        </w:rPr>
        <w:t>DeepDTA</w:t>
      </w:r>
      <w:proofErr w:type="spellEnd"/>
      <w:r w:rsidRPr="00125EC2">
        <w:rPr>
          <w:i/>
          <w:iCs/>
        </w:rPr>
        <w:t>: Deep Drug-Target Binding Affinity Prediction"</w:t>
      </w:r>
      <w:r w:rsidRPr="00125EC2">
        <w:t xml:space="preserve"> (2018), which introduced the Davis/KIBA benchmarking protocol and established CI/MSE as standard DTA evaluation metrics. </w:t>
      </w:r>
      <w:r w:rsidRPr="00125EC2">
        <w:rPr>
          <w:b/>
          <w:bCs/>
        </w:rPr>
        <w:t>Comparative reference:</w:t>
      </w:r>
      <w:r w:rsidRPr="00125EC2">
        <w:t xml:space="preserve"> graph neural network DTA approaches (e.g., Ma, Li &amp; Chen, </w:t>
      </w:r>
      <w:r w:rsidRPr="00125EC2">
        <w:rPr>
          <w:i/>
          <w:iCs/>
        </w:rPr>
        <w:t>"Drug-target binding affinity prediction method based on a deep graph neural network,"</w:t>
      </w:r>
      <w:r w:rsidRPr="00125EC2">
        <w:t xml:space="preserve"> 2023) were used to contextualize performance against deep-learning ceiling results. </w:t>
      </w:r>
      <w:r w:rsidRPr="00125EC2">
        <w:rPr>
          <w:b/>
          <w:bCs/>
        </w:rPr>
        <w:t>Limitation:</w:t>
      </w:r>
      <w:r w:rsidRPr="00125EC2">
        <w:t xml:space="preserve"> protein encoding used composition-based descriptors rather than full sequence/structural encoding, a deliberate scope simplification, with richer encoding noted as future work.</w:t>
      </w:r>
    </w:p>
    <w:p w14:paraId="5756FE65" w14:textId="77777777" w:rsidR="00125EC2" w:rsidRPr="00125EC2" w:rsidRDefault="00125EC2" w:rsidP="00125EC2">
      <w:r w:rsidRPr="00125EC2">
        <w:pict w14:anchorId="14710FDF">
          <v:rect id="_x0000_i1031" style="width:0;height:1.5pt" o:hralign="center" o:hrstd="t" o:hr="t" fillcolor="#a0a0a0" stroked="f"/>
        </w:pict>
      </w:r>
    </w:p>
    <w:p w14:paraId="3F6A3FE9" w14:textId="77777777" w:rsidR="00125EC2" w:rsidRPr="00125EC2" w:rsidRDefault="00125EC2" w:rsidP="00125EC2">
      <w:pPr>
        <w:rPr>
          <w:b/>
          <w:bCs/>
        </w:rPr>
      </w:pPr>
      <w:r w:rsidRPr="00125EC2">
        <w:rPr>
          <w:b/>
          <w:bCs/>
        </w:rPr>
        <w:t>Section 2: Side Effects (SIDER Multi-Label) — Paper Draft Paragraph</w:t>
      </w:r>
    </w:p>
    <w:p w14:paraId="6A22919A" w14:textId="77777777" w:rsidR="00125EC2" w:rsidRPr="00125EC2" w:rsidRDefault="00125EC2" w:rsidP="00125EC2">
      <w:r w:rsidRPr="00125EC2">
        <w:t xml:space="preserve">We built a multi-label side-effect prediction model using the </w:t>
      </w:r>
      <w:proofErr w:type="spellStart"/>
      <w:r w:rsidRPr="00125EC2">
        <w:t>MoleculeNet</w:t>
      </w:r>
      <w:proofErr w:type="spellEnd"/>
      <w:r w:rsidRPr="00125EC2">
        <w:t xml:space="preserve">/SIDER dataset (1,427 approved drugs, 27 MedDRA-grouped organ-class side-effect categories), following the same Morgan fingerprint featurization approach (1024-bit) used in Section 1 for methodological consistency. Rather than a single joint multi-label model, we trained 27 independent </w:t>
      </w:r>
      <w:proofErr w:type="spellStart"/>
      <w:r w:rsidRPr="00125EC2">
        <w:t>XGBoost</w:t>
      </w:r>
      <w:proofErr w:type="spellEnd"/>
      <w:r w:rsidRPr="00125EC2">
        <w:t xml:space="preserve"> binary classifiers (one-vs-rest per category, 200 estimators, max depth 4, learning rate 0.1) — an approach consistent with prior SIDER-based work. Evaluation used AUPRC and F1 as headline metrics (with MCC reported as a supplementary metric) to account for label-wise class imbalance. Of the 27 categories, 20 achieved AUPRC ≥ 0.6 and were retained as the final model set (mean AUPRC = 0.811, </w:t>
      </w:r>
      <w:r w:rsidRPr="00125EC2">
        <w:lastRenderedPageBreak/>
        <w:t xml:space="preserve">mean F1 = 0.801, mean MCC = 0.141 across kept labels); the remaining 7 — Endocrine disorders, Neoplasms, Social circumstances, Pregnancy/perinatal conditions, Surgical/medical procedures, Congenital/genetic disorders, and Product issues — were excluded as a stated, deliberate scope limitation, consistent with these categories showing low positive-class prevalence in the training data rather than a modeling failure. </w:t>
      </w:r>
      <w:r w:rsidRPr="00125EC2">
        <w:rPr>
          <w:b/>
          <w:bCs/>
        </w:rPr>
        <w:t>Base reference:</w:t>
      </w:r>
      <w:r w:rsidRPr="00125EC2">
        <w:t xml:space="preserve"> </w:t>
      </w:r>
      <w:proofErr w:type="spellStart"/>
      <w:r w:rsidRPr="00125EC2">
        <w:t>Uner</w:t>
      </w:r>
      <w:proofErr w:type="spellEnd"/>
      <w:r w:rsidRPr="00125EC2">
        <w:t xml:space="preserve"> et al., </w:t>
      </w:r>
      <w:r w:rsidRPr="00125EC2">
        <w:rPr>
          <w:i/>
          <w:iCs/>
        </w:rPr>
        <w:t>"</w:t>
      </w:r>
      <w:proofErr w:type="spellStart"/>
      <w:r w:rsidRPr="00125EC2">
        <w:rPr>
          <w:i/>
          <w:iCs/>
        </w:rPr>
        <w:t>DeepSide</w:t>
      </w:r>
      <w:proofErr w:type="spellEnd"/>
      <w:r w:rsidRPr="00125EC2">
        <w:rPr>
          <w:i/>
          <w:iCs/>
        </w:rPr>
        <w:t>: A Deep Learning Framework for Drug Side Effect Prediction"</w:t>
      </w:r>
      <w:r w:rsidRPr="00125EC2">
        <w:t xml:space="preserve"> (2019), which established SIDER's 27-category MedDRA grouping and SMILES-based structural prediction as the standard task formulation. </w:t>
      </w:r>
      <w:r w:rsidRPr="00125EC2">
        <w:rPr>
          <w:b/>
          <w:bCs/>
        </w:rPr>
        <w:t>Supporting reference:</w:t>
      </w:r>
      <w:r w:rsidRPr="00125EC2">
        <w:t xml:space="preserve"> Zhang et al., </w:t>
      </w:r>
      <w:r w:rsidRPr="00125EC2">
        <w:rPr>
          <w:i/>
          <w:iCs/>
        </w:rPr>
        <w:t>"Predicting drug side effects by multi-label learning and ensemble learning (FS-MLKNN)"</w:t>
      </w:r>
      <w:r w:rsidRPr="00125EC2">
        <w:t xml:space="preserve"> (BMC Bioinformatics, 2015), and Wu et al., </w:t>
      </w:r>
      <w:r w:rsidRPr="00125EC2">
        <w:rPr>
          <w:i/>
          <w:iCs/>
        </w:rPr>
        <w:t>"</w:t>
      </w:r>
      <w:proofErr w:type="spellStart"/>
      <w:r w:rsidRPr="00125EC2">
        <w:rPr>
          <w:i/>
          <w:iCs/>
        </w:rPr>
        <w:t>MoleculeNet</w:t>
      </w:r>
      <w:proofErr w:type="spellEnd"/>
      <w:r w:rsidRPr="00125EC2">
        <w:rPr>
          <w:i/>
          <w:iCs/>
        </w:rPr>
        <w:t>: A Benchmark for Molecular Machine Learning"</w:t>
      </w:r>
      <w:r w:rsidRPr="00125EC2">
        <w:t xml:space="preserve"> (2018), which standardized this exact SIDER formulation as a benchmark task. </w:t>
      </w:r>
      <w:r w:rsidRPr="00125EC2">
        <w:rPr>
          <w:b/>
          <w:bCs/>
        </w:rPr>
        <w:t>Limitation:</w:t>
      </w:r>
      <w:r w:rsidRPr="00125EC2">
        <w:t xml:space="preserve"> MCC values remain modest (mean 0.141) despite strong AUPRC/F1, reflecting class imbalance sensitivity even within the retained label set — reported transparently as a supplementary metric rather than omitted.</w:t>
      </w:r>
    </w:p>
    <w:p w14:paraId="4C415C68" w14:textId="77777777" w:rsidR="00566B07" w:rsidRDefault="00566B07"/>
    <w:sectPr w:rsidR="00566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EC2"/>
    <w:rsid w:val="00125EC2"/>
    <w:rsid w:val="002E34CA"/>
    <w:rsid w:val="00566B07"/>
    <w:rsid w:val="0089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A45B"/>
  <w15:chartTrackingRefBased/>
  <w15:docId w15:val="{6959736C-0551-4CAE-88BE-13D14D39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E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E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E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E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E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E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E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E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E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E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E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614</Words>
  <Characters>3505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KANNAN (Student)</dc:creator>
  <cp:keywords/>
  <dc:description/>
  <cp:lastModifiedBy>SHALINI KANNAN (Student)</cp:lastModifiedBy>
  <cp:revision>1</cp:revision>
  <dcterms:created xsi:type="dcterms:W3CDTF">2026-08-17T14:55:00Z</dcterms:created>
  <dcterms:modified xsi:type="dcterms:W3CDTF">2026-08-17T15:01:00Z</dcterms:modified>
</cp:coreProperties>
</file>