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07A5F"/>
          <w:sz w:val="19"/>
        </w:rPr>
        <w:t>PRECISION ONCOLOGY ANALYSIS</w:t>
      </w:r>
    </w:p>
    <w:p>
      <w:r>
        <w:rPr>
          <w:b/>
          <w:color w:val="1B3A4B"/>
          <w:sz w:val="46"/>
        </w:rPr>
        <w:t>Detailed Analysis Report — Precision Oncology Cohort</w:t>
      </w:r>
    </w:p>
    <w:p>
      <w:r>
        <w:rPr>
          <w:i/>
          <w:color w:val="5A6B72"/>
          <w:sz w:val="22"/>
        </w:rPr>
        <w:t>Clinical, molecular and AI-prediction insights from 82 patients (generated with Claude)</w:t>
      </w:r>
    </w:p>
    <w:p>
      <w:pPr>
        <w:pStyle w:val="Heading1"/>
      </w:pPr>
      <w:r>
        <w:t>Executive summary</w:t>
      </w:r>
    </w:p>
    <w:p>
      <w:pPr>
        <w:keepNext/>
      </w:pPr>
      <w:r>
        <w:rPr>
          <w:i/>
          <w:sz w:val="18"/>
        </w:rPr>
        <w:t>Table 1. Cohort at a glance.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1B3A4B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1B3A4B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68"/>
            <w:shd w:val="clear" w:color="auto" w:fill="1B3A4B"/>
          </w:tcPr>
          <w:p>
            <w:r>
              <w:rPr>
                <w:b/>
                <w:color w:val="FFFFFF"/>
                <w:sz w:val="20"/>
              </w:rPr>
              <w:t xml:space="preserve">Metric </w:t>
            </w:r>
          </w:p>
        </w:tc>
        <w:tc>
          <w:tcPr>
            <w:tcW w:type="dxa" w:w="1728"/>
            <w:shd w:val="clear" w:color="auto" w:fill="1B3A4B"/>
          </w:tcPr>
          <w:p>
            <w:r>
              <w:rPr>
                <w:b/>
                <w:color w:val="FFFFFF"/>
                <w:sz w:val="20"/>
              </w:rPr>
              <w:t xml:space="preserve">Value 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Living / 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>
              <w:rPr>
                <w:sz w:val="20"/>
              </w:rPr>
              <w:t>Deceased</w:t>
            </w:r>
          </w:p>
        </w:tc>
        <w:tc>
          <w:tcPr>
            <w:tcW w:type="dxa" w:w="1728"/>
            <w:shd w:val="clear" w:color="auto" w:fill="EAF2F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68"/>
            <w:shd w:val="clear" w:color="auto" w:fill="EAF2F1"/>
          </w:tcPr>
          <w:p>
            <w:r>
              <w:rPr>
                <w:sz w:val="20"/>
              </w:rPr>
              <w:t>High-risk (rule or AI)</w:t>
            </w:r>
          </w:p>
        </w:tc>
        <w:tc>
          <w:tcPr>
            <w:tcW w:type="dxa" w:w="1728"/>
            <w:shd w:val="clear" w:color="auto" w:fill="EAF2F1"/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 IV (of staged)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63%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Immunotherapy-treated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>
              <w:rPr>
                <w:sz w:val="20"/>
              </w:rPr>
              <w:t>Actionable biomarker carriers</w:t>
            </w:r>
          </w:p>
        </w:tc>
        <w:tc>
          <w:tcPr>
            <w:tcW w:type="dxa" w:w="1728"/>
            <w:shd w:val="clear" w:color="auto" w:fill="EAF2F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68"/>
            <w:shd w:val="clear" w:color="auto" w:fill="EAF2F1"/>
          </w:tcPr>
          <w:p>
            <w:r>
              <w:rPr>
                <w:sz w:val="20"/>
              </w:rPr>
              <w:t>MSI-high</w:t>
            </w:r>
          </w:p>
        </w:tc>
        <w:tc>
          <w:tcPr>
            <w:tcW w:type="dxa" w:w="1728"/>
            <w:shd w:val="clear" w:color="auto" w:fill="EAF2F1"/>
          </w:tcPr>
          <w:p>
            <w:r>
              <w:rPr>
                <w:sz w:val="20"/>
              </w:rPr>
              <w:t>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</w:rPr>
        <w:t>Headline findings</w:t>
      </w:r>
    </w:p>
    <w:p>
      <w:pPr>
        <w:pStyle w:val="ListBullet"/>
        <w:spacing w:after="60"/>
      </w:pPr>
      <w:r>
        <w:rPr>
          <w:b/>
        </w:rPr>
        <w:t xml:space="preserve">Stage and treatment profile. </w:t>
      </w:r>
      <w:r>
        <w:t>63% of staged patients are stage IV; 90% received chemotherapy and 38% immunotherapy.</w:t>
      </w:r>
    </w:p>
    <w:p>
      <w:pPr>
        <w:pStyle w:val="ListBullet"/>
        <w:spacing w:after="60"/>
      </w:pPr>
      <w:r>
        <w:rPr>
          <w:b/>
        </w:rPr>
        <w:t xml:space="preserve">Imaging response. </w:t>
      </w:r>
      <w:r>
        <w:t>25 of 50 patients with a readable response achieved CR/PR (50%); 33 show progression in at least one report.</w:t>
      </w:r>
    </w:p>
    <w:p>
      <w:pPr>
        <w:pStyle w:val="ListBullet"/>
        <w:spacing w:after="60"/>
      </w:pPr>
      <w:r>
        <w:rPr>
          <w:b/>
        </w:rPr>
        <w:t xml:space="preserve">Molecular data is the main opportunity. </w:t>
      </w:r>
      <w:r>
        <w:t>20 patients carry a biomarker with a known targeted or immunotherapy association; only 13 have gene-level sequencing on file.</w:t>
      </w:r>
    </w:p>
    <w:p>
      <w:pPr>
        <w:pStyle w:val="ListBullet"/>
        <w:spacing w:after="60"/>
      </w:pPr>
      <w:r>
        <w:rPr>
          <w:b/>
        </w:rPr>
        <w:t xml:space="preserve">AI risk stratification is feasible but exploratory. </w:t>
      </w:r>
      <w:r>
        <w:t>Cross-validated C-index is 0.74 for survival and 0.59 for progression (n=78, 16 deaths): usable for triage and hypothesis generation, not yet for individual forecasts.</w:t>
      </w:r>
    </w:p>
    <w:p>
      <w:pPr>
        <w:pStyle w:val="ListBullet"/>
        <w:spacing w:after="60"/>
      </w:pPr>
      <w:r>
        <w:rPr>
          <w:b/>
        </w:rPr>
        <w:t xml:space="preserve">Responder score needs validation. </w:t>
      </w:r>
      <w:r>
        <w:t>On 22 immunotherapy-treated patients the blended score's leave-one-out AUC was 0.35; a larger treated cohort is required before it informs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1"/>
          </w:tcPr>
          <w:p>
            <w:r>
              <w:rPr>
                <w:b/>
              </w:rPr>
              <w:t xml:space="preserve">Data note.  </w:t>
            </w:r>
            <w:r>
              <w:t>Figures in this report come from the sample dataset supplied in the same format as the original. Re-run make_reports.py on the real workbook to regenerate every chart, table and sentence.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Cohort and data readiness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3270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1. Completeness of analysis-ready fields.</w:t>
      </w:r>
    </w:p>
    <w:p>
      <w:pPr>
        <w:spacing w:after="120"/>
      </w:pPr>
      <w:r>
        <w:rPr>
          <w:b/>
        </w:rPr>
        <w:t xml:space="preserve">How to read it: </w:t>
      </w:r>
      <w:r>
        <w:rPr>
          <w:i w:val="0"/>
        </w:rPr>
        <w:t>Teal bars are well populated, amber are partial, red are sparse. Sparse fields limit what the AI layer can learn.</w:t>
      </w:r>
    </w:p>
    <w:p>
      <w:pPr>
        <w:spacing w:after="120"/>
      </w:pPr>
      <w:r>
        <w:rPr>
          <w:i w:val="0"/>
        </w:rPr>
        <w:t>What the pipeline fixed automatically:</w:t>
      </w:r>
    </w:p>
    <w:p>
      <w:pPr>
        <w:pStyle w:val="ListBullet"/>
        <w:spacing w:after="60"/>
      </w:pPr>
      <w:r>
        <w:t>Patient names removed and scrubbed from free text; 5 notes contained a name that was masked.</w:t>
      </w:r>
    </w:p>
    <w:p>
      <w:pPr>
        <w:pStyle w:val="ListBullet"/>
        <w:spacing w:after="60"/>
      </w:pPr>
      <w:r>
        <w:t>Duplicate patient IDs collapsed to the most complete record.</w:t>
      </w:r>
    </w:p>
    <w:p>
      <w:pPr>
        <w:pStyle w:val="ListBullet"/>
        <w:spacing w:after="60"/>
      </w:pPr>
      <w:r>
        <w:t>Lab values with mixed units (e.g. cells/µL, lakh/cmm, ×10³) standardised; implausible values set to missing.</w:t>
      </w:r>
    </w:p>
    <w:p>
      <w:pPr>
        <w:pStyle w:val="ListBullet"/>
        <w:spacing w:after="60"/>
      </w:pPr>
      <w:r>
        <w:t>Dates in Excel-serial, dd/mm/yyyy and written-month formats parsed; dates after the record's entry time discarded.</w:t>
      </w:r>
    </w:p>
    <w:p>
      <w:pPr>
        <w:pStyle w:val="Heading1"/>
      </w:pPr>
      <w:r>
        <w:t>2. Clinical landscape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825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graph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25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2. Demographics and lifestyle history.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20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3. Site and class distribution.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146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4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4. Stage distribution and stage-by-site heat map.</w:t>
      </w:r>
    </w:p>
    <w:p>
      <w:pPr>
        <w:spacing w:after="120"/>
      </w:pPr>
      <w:r>
        <w:rPr>
          <w:b/>
        </w:rPr>
        <w:t xml:space="preserve">Insight: </w:t>
      </w:r>
      <w:r>
        <w:rPr>
          <w:i w:val="0"/>
        </w:rPr>
        <w:t>The three most common site groups are Breast (18), Hematologic (11), Hepatobiliary (9). Stage is not recorded for 23% of patients, so every stage-stratified result below describes only the staged subset.</w:t>
      </w:r>
    </w:p>
    <w:p>
      <w:pPr>
        <w:pStyle w:val="Heading1"/>
      </w:pPr>
      <w:r>
        <w:t>3. Treatment and response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723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v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5. Flow of patients from stage group to treatment pattern to best imaging response.</w:t>
      </w:r>
    </w:p>
    <w:p>
      <w:pPr>
        <w:spacing w:after="120"/>
      </w:pPr>
      <w:r>
        <w:rPr>
          <w:b/>
        </w:rPr>
        <w:t xml:space="preserve">How to read it: </w:t>
      </w:r>
      <w:r>
        <w:rPr>
          <w:i w:val="0"/>
        </w:rPr>
        <w:t>Ribbon width is the number of patients. Follow a ribbon from left to right to see how a stage group was treated and how it responded.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1520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t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6. Modality utilisation overall and by stage.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2947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9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7. Imaging response overall and by site.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53519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m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8. Swimmer plot of the longest-followed patients with dated imaging outcomes.</w:t>
      </w:r>
    </w:p>
    <w:p>
      <w:pPr>
        <w:spacing w:after="120"/>
      </w:pPr>
      <w:r>
        <w:rPr>
          <w:b/>
        </w:rPr>
        <w:t xml:space="preserve">How to read it: </w:t>
      </w:r>
      <w:r>
        <w:rPr>
          <w:i w:val="0"/>
        </w:rPr>
        <w:t>Each bar is one patient's follow-up. Markers show imaging status at each dated report; a black cross marks death.</w:t>
      </w:r>
    </w:p>
    <w:p>
      <w:pPr>
        <w:keepNext/>
      </w:pPr>
      <w:r>
        <w:rPr>
          <w:i/>
          <w:sz w:val="18"/>
        </w:rPr>
        <w:t>Table 2. Most frequent treatment combinations.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6048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Treatment combination</w:t>
            </w:r>
          </w:p>
        </w:tc>
        <w:tc>
          <w:tcPr>
            <w:tcW w:type="dxa" w:w="1440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Patients</w:t>
            </w:r>
          </w:p>
        </w:tc>
        <w:tc>
          <w:tcPr>
            <w:tcW w:type="dxa" w:w="1440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Chemotherapy + 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 + Immunotherapy + Surgery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Chemotherapy + Immunotherapy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Chemotherapy + Radiation + 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 + Hormonal Therapy + Surgery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6048"/>
            <w:shd w:val="clear" w:color="auto" w:fill="EAF2F1"/>
          </w:tcPr>
          <w:p>
            <w:r>
              <w:rPr>
                <w:sz w:val="18"/>
              </w:rPr>
              <w:t>Chemotherapy + Hormonal Therapy + Radiation + Surgery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4%</w:t>
            </w:r>
          </w:p>
        </w:tc>
      </w:tr>
    </w:tbl>
    <w:p>
      <w:pPr>
        <w:spacing w:after="40"/>
      </w:pPr>
    </w:p>
    <w:p>
      <w:pPr>
        <w:pStyle w:val="Heading1"/>
      </w:pPr>
      <w:r>
        <w:t>4. Molecular landscape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9354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mark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9. MSI, PD-L1 and tumour immune phenotype.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1347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4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10. Gene-level alterations.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988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co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8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11. Oncoplot of patients with a notable molecular result.</w:t>
      </w:r>
    </w:p>
    <w:p>
      <w:pPr>
        <w:spacing w:after="120"/>
      </w:pPr>
      <w:r>
        <w:rPr>
          <w:b/>
        </w:rPr>
        <w:t xml:space="preserve">How to read it: </w:t>
      </w:r>
      <w:r>
        <w:rPr>
          <w:i w:val="0"/>
        </w:rPr>
        <w:t>Each column is a patient (coloured strip = tumour site); each orange cell is a detected alteration or biomarker.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0590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9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12. Actionable biomarkers present at gene level.</w:t>
      </w:r>
    </w:p>
    <w:p>
      <w:pPr>
        <w:spacing w:after="120"/>
      </w:pPr>
      <w:r>
        <w:rPr>
          <w:b/>
        </w:rPr>
        <w:t xml:space="preserve">Insight: </w:t>
      </w:r>
      <w:r>
        <w:rPr>
          <w:i w:val="0"/>
        </w:rPr>
        <w:t>20 patients carry at least one biomarker with a published targeted or immunotherapy association. Matching is at gene level only; the exact variant must be confirmed in the sequencing report before any therapy discussion.</w:t>
      </w:r>
    </w:p>
    <w:p>
      <w:pPr>
        <w:pStyle w:val="Heading1"/>
      </w:pPr>
      <w:r>
        <w:t>5. Outcomes and prognostic factors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4216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all_d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2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13. Kaplan–Meier overall survival with 95% confidence band.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7020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stage_d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14. Survival by stage group (log-rank p = 0.10).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7020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class_d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15. Survival by cancer class (log-rank p = 0.03).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5726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os_d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16. Hazard ratios from the penalised Cox model.</w:t>
      </w:r>
    </w:p>
    <w:p>
      <w:pPr>
        <w:spacing w:after="120"/>
      </w:pPr>
      <w:r>
        <w:rPr>
          <w:b/>
        </w:rPr>
        <w:t xml:space="preserve">How to read it: </w:t>
      </w:r>
      <w:r>
        <w:rPr>
          <w:i w:val="0"/>
        </w:rPr>
        <w:t>Dots right of the dashed line mean higher hazard of death per standard deviation (or for 'yes'); bars that cross 1 are not distinguishable from no effect.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9323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17. Baseline laboratory values by survival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4379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cor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7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18. Correlation between labs, age and stage.</w:t>
      </w:r>
    </w:p>
    <w:p>
      <w:r>
        <w:br w:type="page"/>
      </w:r>
    </w:p>
    <w:p>
      <w:pPr>
        <w:pStyle w:val="Heading1"/>
      </w:pPr>
      <w:r>
        <w:t>6. AI prediction layer</w:t>
      </w:r>
    </w:p>
    <w:p>
      <w:pPr>
        <w:spacing w:after="120"/>
      </w:pPr>
      <w:r>
        <w:rPr>
          <w:i w:val="0"/>
        </w:rPr>
        <w:t>The layer is built for a small cohort: ridge-penalised Cox models for survival and progression, a transparent biomarker-prior plus regularised logistic model for immunotherapy response, rule-based precision-therapy and trial matching, and a similar-patient lookup. All models use baseline information only.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626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per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19. Cross-validated vs apparent concordance for the two time-to-event models.</w:t>
      </w:r>
    </w:p>
    <w:p>
      <w:pPr>
        <w:spacing w:after="120"/>
      </w:pPr>
      <w:r>
        <w:rPr>
          <w:b/>
        </w:rPr>
        <w:t xml:space="preserve">How to read it: </w:t>
      </w:r>
      <w:r>
        <w:rPr>
          <w:i w:val="0"/>
        </w:rPr>
        <w:t>Dots show repeated 5-fold cross-validation (honest estimate); diamonds show performance on the training data (optimistic). A value of 0.5 equals chance.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8825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ti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8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20. Distribution of AI risk tiers, progression risk and responder score.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7020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tier_d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21. Survival separated by AI risk tier (log-rank p = 0.008; in-sample, therefore optimistic).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04200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4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2"/>
          <w:sz w:val="18"/>
        </w:rPr>
        <w:t>Figure 22. Immunotherapy benefit by biomarker group and responder-score validation.</w:t>
      </w:r>
    </w:p>
    <w:p>
      <w:pPr>
        <w:keepNext/>
      </w:pPr>
      <w:r>
        <w:rPr>
          <w:i/>
          <w:sz w:val="18"/>
        </w:rPr>
        <w:t>Table 3. Ten highest-risk living patients (watch-list).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440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Patient</w:t>
            </w:r>
          </w:p>
        </w:tc>
        <w:tc>
          <w:tcPr>
            <w:tcW w:type="dxa" w:w="2016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Site</w:t>
            </w:r>
          </w:p>
        </w:tc>
        <w:tc>
          <w:tcPr>
            <w:tcW w:type="dxa" w:w="1008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016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6-mo progression risk</w:t>
            </w:r>
          </w:p>
        </w:tc>
        <w:tc>
          <w:tcPr>
            <w:tcW w:type="dxa" w:w="1584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Composite risk</w:t>
            </w:r>
          </w:p>
        </w:tc>
        <w:tc>
          <w:tcPr>
            <w:tcW w:type="dxa" w:w="1584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Responder score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SAM081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Lung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SAM061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Hepatobiliary</w:t>
            </w:r>
          </w:p>
        </w:tc>
        <w:tc>
          <w:tcPr>
            <w:tcW w:type="dxa" w:w="1008"/>
            <w:shd w:val="clear" w:color="auto" w:fill="EAF2F1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23%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SAM065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Prostate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49</w:t>
            </w:r>
          </w:p>
        </w:tc>
      </w:tr>
      <w:tr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SAM060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Lung</w:t>
            </w:r>
          </w:p>
        </w:tc>
        <w:tc>
          <w:tcPr>
            <w:tcW w:type="dxa" w:w="1008"/>
            <w:shd w:val="clear" w:color="auto" w:fill="EAF2F1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SAM077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Colorectal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19%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SAM055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Bone &amp; Soft tissue</w:t>
            </w:r>
          </w:p>
        </w:tc>
        <w:tc>
          <w:tcPr>
            <w:tcW w:type="dxa" w:w="1008"/>
            <w:shd w:val="clear" w:color="auto" w:fill="EAF2F1"/>
          </w:tcPr>
          <w:p>
            <w:r>
              <w:rPr>
                <w:sz w:val="18"/>
              </w:rPr>
              <w:t>IV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SAM058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Lung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SAM063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Head &amp; Neck</w:t>
            </w:r>
          </w:p>
        </w:tc>
        <w:tc>
          <w:tcPr>
            <w:tcW w:type="dxa" w:w="1008"/>
            <w:shd w:val="clear" w:color="auto" w:fill="EAF2F1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SAM037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Colorectal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IV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440"/>
            <w:shd w:val="clear" w:color="auto" w:fill="EAF2F1"/>
          </w:tcPr>
          <w:p>
            <w:r>
              <w:rPr>
                <w:sz w:val="18"/>
              </w:rPr>
              <w:t>SAM047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Breast</w:t>
            </w:r>
          </w:p>
        </w:tc>
        <w:tc>
          <w:tcPr>
            <w:tcW w:type="dxa" w:w="1008"/>
            <w:shd w:val="clear" w:color="auto" w:fill="EAF2F1"/>
          </w:tcPr>
          <w:p>
            <w:r>
              <w:rPr>
                <w:sz w:val="18"/>
              </w:rPr>
              <w:t>IV</w:t>
            </w:r>
          </w:p>
        </w:tc>
        <w:tc>
          <w:tcPr>
            <w:tcW w:type="dxa" w:w="2016"/>
            <w:shd w:val="clear" w:color="auto" w:fill="EAF2F1"/>
          </w:tcPr>
          <w:p>
            <w:r>
              <w:rPr>
                <w:sz w:val="18"/>
              </w:rPr>
              <w:t>19%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584"/>
            <w:shd w:val="clear" w:color="auto" w:fill="EAF2F1"/>
          </w:tcPr>
          <w:p>
            <w:r>
              <w:rPr>
                <w:sz w:val="18"/>
              </w:rPr>
              <w:t>55</w:t>
            </w:r>
          </w:p>
        </w:tc>
      </w:tr>
    </w:tbl>
    <w:p>
      <w:pPr>
        <w:spacing w:after="40"/>
      </w:pPr>
    </w:p>
    <w:p>
      <w:pPr>
        <w:pStyle w:val="Heading2"/>
      </w:pPr>
      <w:r>
        <w:t>Precision therapy matching</w:t>
      </w:r>
    </w:p>
    <w:p>
      <w:pPr>
        <w:spacing w:after="120"/>
      </w:pPr>
      <w:r>
        <w:rPr>
          <w:i w:val="0"/>
        </w:rPr>
        <w:t>Biomarker-to-therapy associations are drawn from a curated illustrative knowledge base and matched at gene level. Treat as candidates for tumour-board discussion.</w:t>
      </w:r>
    </w:p>
    <w:p>
      <w:pPr>
        <w:keepNext/>
      </w:pPr>
      <w:r>
        <w:rPr>
          <w:i/>
          <w:sz w:val="18"/>
        </w:rPr>
        <w:t>Table 4. Candidate therapies by biomarker (verify against OncoKB / NCCN before use).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B3A4B"/>
          </w:tcPr>
          <w:p>
            <w:r>
              <w:rPr>
                <w:b/>
                <w:color w:val="FFFFFF"/>
                <w:sz w:val="17"/>
              </w:rPr>
              <w:t>Biomarker</w:t>
            </w:r>
          </w:p>
        </w:tc>
        <w:tc>
          <w:tcPr>
            <w:tcW w:type="dxa" w:w="5184"/>
            <w:shd w:val="clear" w:color="auto" w:fill="1B3A4B"/>
          </w:tcPr>
          <w:p>
            <w:r>
              <w:rPr>
                <w:b/>
                <w:color w:val="FFFFFF"/>
                <w:sz w:val="17"/>
              </w:rPr>
              <w:t>Candidate therapies (verify)</w:t>
            </w:r>
          </w:p>
        </w:tc>
        <w:tc>
          <w:tcPr>
            <w:tcW w:type="dxa" w:w="1296"/>
            <w:shd w:val="clear" w:color="auto" w:fill="1B3A4B"/>
          </w:tcPr>
          <w:p>
            <w:r>
              <w:rPr>
                <w:b/>
                <w:color w:val="FFFFFF"/>
                <w:sz w:val="17"/>
              </w:rPr>
              <w:t>Patients</w:t>
            </w:r>
          </w:p>
        </w:tc>
        <w:tc>
          <w:tcPr>
            <w:tcW w:type="dxa" w:w="1440"/>
            <w:shd w:val="clear" w:color="auto" w:fill="1B3A4B"/>
          </w:tcPr>
          <w:p>
            <w:r>
              <w:rPr>
                <w:b/>
                <w:color w:val="FFFFFF"/>
                <w:sz w:val="17"/>
              </w:rPr>
              <w:t>Site-appropriate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PD-L1 positive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Checkpoint inhibitor (site-specific; CPS/TPS cut-offs vary)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1584"/>
            <w:shd w:val="clear" w:color="auto" w:fill="EAF2F1"/>
          </w:tcPr>
          <w:p>
            <w:r>
              <w:rPr>
                <w:sz w:val="17"/>
              </w:rPr>
              <w:t>MSI-H</w:t>
            </w:r>
          </w:p>
        </w:tc>
        <w:tc>
          <w:tcPr>
            <w:tcW w:type="dxa" w:w="5184"/>
            <w:shd w:val="clear" w:color="auto" w:fill="EAF2F1"/>
          </w:tcPr>
          <w:p>
            <w:r>
              <w:rPr>
                <w:sz w:val="17"/>
              </w:rPr>
              <w:t>Pembrolizumab, Nivolumab +/- Ipilimumab, Dostarlimab</w:t>
            </w:r>
          </w:p>
        </w:tc>
        <w:tc>
          <w:tcPr>
            <w:tcW w:type="dxa" w:w="1296"/>
            <w:shd w:val="clear" w:color="auto" w:fill="EAF2F1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KRAS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Sotorasib / Adagrasib (only if KRAS G12C)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584"/>
            <w:shd w:val="clear" w:color="auto" w:fill="EAF2F1"/>
          </w:tcPr>
          <w:p>
            <w:r>
              <w:rPr>
                <w:sz w:val="17"/>
              </w:rPr>
              <w:t>TMB-H</w:t>
            </w:r>
          </w:p>
        </w:tc>
        <w:tc>
          <w:tcPr>
            <w:tcW w:type="dxa" w:w="5184"/>
            <w:shd w:val="clear" w:color="auto" w:fill="EAF2F1"/>
          </w:tcPr>
          <w:p>
            <w:r>
              <w:rPr>
                <w:sz w:val="17"/>
              </w:rPr>
              <w:t>Pembrolizumab</w:t>
            </w:r>
          </w:p>
        </w:tc>
        <w:tc>
          <w:tcPr>
            <w:tcW w:type="dxa" w:w="1296"/>
            <w:shd w:val="clear" w:color="auto" w:fill="EAF2F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HER2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Trastuzumab, Pertuzumab, Trastuzumab deruxtecan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584"/>
            <w:shd w:val="clear" w:color="auto" w:fill="EAF2F1"/>
          </w:tcPr>
          <w:p>
            <w:r>
              <w:rPr>
                <w:sz w:val="17"/>
              </w:rPr>
              <w:t>KIT</w:t>
            </w:r>
          </w:p>
        </w:tc>
        <w:tc>
          <w:tcPr>
            <w:tcW w:type="dxa" w:w="5184"/>
            <w:shd w:val="clear" w:color="auto" w:fill="EAF2F1"/>
          </w:tcPr>
          <w:p>
            <w:r>
              <w:rPr>
                <w:sz w:val="17"/>
              </w:rPr>
              <w:t>Imatinib</w:t>
            </w:r>
          </w:p>
        </w:tc>
        <w:tc>
          <w:tcPr>
            <w:tcW w:type="dxa" w:w="1296"/>
            <w:shd w:val="clear" w:color="auto" w:fill="EAF2F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40"/>
            <w:shd w:val="clear" w:color="auto" w:fill="EAF2F1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PDGFRA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Imatinib / Avapritinib (D842V)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t>Clinical trial matching</w:t>
      </w:r>
    </w:p>
    <w:p>
      <w:pPr>
        <w:spacing w:after="120"/>
      </w:pPr>
      <w:r>
        <w:rPr>
          <w:i w:val="0"/>
        </w:rPr>
        <w:t>62 living patients match at least one placeholder trial on site, stage, age and biomarker rules. In production, trials are pulled live from ClinicalTrials.gov / CTRI.</w:t>
      </w:r>
    </w:p>
    <w:p>
      <w:pPr>
        <w:keepNext/>
      </w:pPr>
      <w:r>
        <w:rPr>
          <w:i/>
          <w:sz w:val="18"/>
        </w:rPr>
        <w:t>Table 5. Placeholder trials ranked by number of matching patients.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1B3A4B"/>
          </w:tcPr>
          <w:p>
            <w:r>
              <w:rPr>
                <w:b/>
                <w:color w:val="FFFFFF"/>
                <w:sz w:val="17"/>
              </w:rPr>
              <w:t>Trial (placeholder)</w:t>
            </w:r>
          </w:p>
        </w:tc>
        <w:tc>
          <w:tcPr>
            <w:tcW w:type="dxa" w:w="5760"/>
            <w:shd w:val="clear" w:color="auto" w:fill="1B3A4B"/>
          </w:tcPr>
          <w:p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1B3A4B"/>
          </w:tcPr>
          <w:p>
            <w:r>
              <w:rPr>
                <w:b/>
                <w:color w:val="FFFFFF"/>
                <w:sz w:val="17"/>
              </w:rPr>
              <w:t>Matching patients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SAMPLE-009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Supportive care / quality-of-life study, advanced cancer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62</w:t>
            </w:r>
          </w:p>
        </w:tc>
      </w:tr>
      <w:tr>
        <w:tc>
          <w:tcPr>
            <w:tcW w:type="dxa" w:w="1872"/>
            <w:shd w:val="clear" w:color="auto" w:fill="EAF2F1"/>
          </w:tcPr>
          <w:p>
            <w:r>
              <w:rPr>
                <w:sz w:val="17"/>
              </w:rPr>
              <w:t>SAMPLE-007</w:t>
            </w:r>
          </w:p>
        </w:tc>
        <w:tc>
          <w:tcPr>
            <w:tcW w:type="dxa" w:w="5760"/>
            <w:shd w:val="clear" w:color="auto" w:fill="EAF2F1"/>
          </w:tcPr>
          <w:p>
            <w:r>
              <w:rPr>
                <w:sz w:val="17"/>
              </w:rPr>
              <w:t>Novel agents in relapsed/refractory myeloma or lymphoma</w:t>
            </w:r>
          </w:p>
        </w:tc>
        <w:tc>
          <w:tcPr>
            <w:tcW w:type="dxa" w:w="1728"/>
            <w:shd w:val="clear" w:color="auto" w:fill="EAF2F1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SAMPLE-006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First-line therapy, metastatic colorectal cancer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1872"/>
            <w:shd w:val="clear" w:color="auto" w:fill="EAF2F1"/>
          </w:tcPr>
          <w:p>
            <w:r>
              <w:rPr>
                <w:sz w:val="17"/>
              </w:rPr>
              <w:t>SAMPLE-004</w:t>
            </w:r>
          </w:p>
        </w:tc>
        <w:tc>
          <w:tcPr>
            <w:tcW w:type="dxa" w:w="5760"/>
            <w:shd w:val="clear" w:color="auto" w:fill="EAF2F1"/>
          </w:tcPr>
          <w:p>
            <w:r>
              <w:rPr>
                <w:sz w:val="17"/>
              </w:rPr>
              <w:t>Immunotherapy for MSI-high / TMB-high tumours (any site)</w:t>
            </w:r>
          </w:p>
        </w:tc>
        <w:tc>
          <w:tcPr>
            <w:tcW w:type="dxa" w:w="1728"/>
            <w:shd w:val="clear" w:color="auto" w:fill="EAF2F1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SAMPLE-001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Checkpoint inhibitor + chemo, advanced lung cancer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872"/>
            <w:shd w:val="clear" w:color="auto" w:fill="EAF2F1"/>
          </w:tcPr>
          <w:p>
            <w:r>
              <w:rPr>
                <w:sz w:val="17"/>
              </w:rPr>
              <w:t>SAMPLE-003</w:t>
            </w:r>
          </w:p>
        </w:tc>
        <w:tc>
          <w:tcPr>
            <w:tcW w:type="dxa" w:w="5760"/>
            <w:shd w:val="clear" w:color="auto" w:fill="EAF2F1"/>
          </w:tcPr>
          <w:p>
            <w:r>
              <w:rPr>
                <w:sz w:val="17"/>
              </w:rPr>
              <w:t>HER2-directed therapy, HER2-positive solid tumours</w:t>
            </w:r>
          </w:p>
        </w:tc>
        <w:tc>
          <w:tcPr>
            <w:tcW w:type="dxa" w:w="1728"/>
            <w:shd w:val="clear" w:color="auto" w:fill="EAF2F1"/>
          </w:tcPr>
          <w:p>
            <w:r>
              <w:rPr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</w:pPr>
      <w:r>
        <w:t>7. Synthesis and recommendations</w:t>
      </w:r>
    </w:p>
    <w:p>
      <w:pPr>
        <w:pStyle w:val="ListBullet"/>
        <w:spacing w:after="60"/>
      </w:pPr>
      <w:r>
        <w:rPr>
          <w:b/>
        </w:rPr>
        <w:t xml:space="preserve">Capture the missing outcome fields. </w:t>
      </w:r>
      <w:r>
        <w:t>Add death date, last-contact date and a structured RECIST response. This single change would convert the proxy outcomes into true survival and response endpoints.</w:t>
      </w:r>
    </w:p>
    <w:p>
      <w:pPr>
        <w:pStyle w:val="ListBullet"/>
        <w:spacing w:after="60"/>
      </w:pPr>
      <w:r>
        <w:rPr>
          <w:b/>
        </w:rPr>
        <w:t xml:space="preserve">Expand molecular testing. </w:t>
      </w:r>
      <w:r>
        <w:t>Only 13 patients have gene-level results; broader panel testing would raise the number of patients with an actionable match.</w:t>
      </w:r>
    </w:p>
    <w:p>
      <w:pPr>
        <w:pStyle w:val="ListBullet"/>
        <w:spacing w:after="60"/>
      </w:pPr>
      <w:r>
        <w:rPr>
          <w:b/>
        </w:rPr>
        <w:t xml:space="preserve">Use the risk tiers for triage, not prognosis. </w:t>
      </w:r>
      <w:r>
        <w:t>Prioritise high-tier patients for review while collecting more events to firm up the models.</w:t>
      </w:r>
    </w:p>
    <w:p>
      <w:pPr>
        <w:pStyle w:val="ListBullet"/>
        <w:spacing w:after="60"/>
      </w:pPr>
      <w:r>
        <w:rPr>
          <w:b/>
        </w:rPr>
        <w:t xml:space="preserve">Validate the responder score prospectively. </w:t>
      </w:r>
      <w:r>
        <w:t>Record PD-L1 %, MSI and TMB before every immunotherapy start so benefit can be modelled properly.</w:t>
      </w:r>
    </w:p>
    <w:p>
      <w:pPr>
        <w:pStyle w:val="ListBullet"/>
        <w:spacing w:after="60"/>
      </w:pPr>
      <w:r>
        <w:rPr>
          <w:b/>
        </w:rPr>
        <w:t xml:space="preserve">Verify automated extraction. </w:t>
      </w:r>
      <w:r>
        <w:t>Spot-check stage, response and gene calls against source text for a random 20 patients; record accuracy in the methods appendix.</w:t>
      </w:r>
    </w:p>
    <w:p>
      <w:pPr>
        <w:pStyle w:val="Heading1"/>
      </w:pPr>
      <w:r>
        <w:t>Appendix: methods and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200"/>
            <w:shd w:val="clear" w:color="auto" w:fill="1B3A4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Active patient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Overall survival status = Living</w:t>
            </w:r>
          </w:p>
        </w:tc>
      </w:tr>
      <w:tr>
        <w:tc>
          <w:tcPr>
            <w:tcW w:type="dxa" w:w="2448"/>
            <w:shd w:val="clear" w:color="auto" w:fill="EAF2F1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7200"/>
            <w:shd w:val="clear" w:color="auto" w:fill="EAF2F1"/>
          </w:tcPr>
          <w:p>
            <w:r>
              <w:rPr>
                <w:sz w:val="18"/>
              </w:rPr>
              <w:t>Overall survival status = Deceased; 'Not known' is treated as censored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High-risk (rule)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Living and (stage IV, M1 or imaging progression)</w:t>
            </w:r>
          </w:p>
        </w:tc>
      </w:tr>
      <w:tr>
        <w:tc>
          <w:tcPr>
            <w:tcW w:type="dxa" w:w="2448"/>
            <w:shd w:val="clear" w:color="auto" w:fill="EAF2F1"/>
          </w:tcPr>
          <w:p>
            <w:r>
              <w:rPr>
                <w:sz w:val="18"/>
              </w:rPr>
              <w:t>High-risk (AI)</w:t>
            </w:r>
          </w:p>
        </w:tc>
        <w:tc>
          <w:tcPr>
            <w:tcW w:type="dxa" w:w="7200"/>
            <w:shd w:val="clear" w:color="auto" w:fill="EAF2F1"/>
          </w:tcPr>
          <w:p>
            <w:r>
              <w:rPr>
                <w:sz w:val="18"/>
              </w:rPr>
              <w:t>Top third of composite risk (mean of survival and progression risk percentiles)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Survival time (proxy)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First dated treatment/imaging entry to last dated entry</w:t>
            </w:r>
          </w:p>
        </w:tc>
      </w:tr>
      <w:tr>
        <w:tc>
          <w:tcPr>
            <w:tcW w:type="dxa" w:w="2448"/>
            <w:shd w:val="clear" w:color="auto" w:fill="EAF2F1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7200"/>
            <w:shd w:val="clear" w:color="auto" w:fill="EAF2F1"/>
          </w:tcPr>
          <w:p>
            <w:r>
              <w:rPr>
                <w:sz w:val="18"/>
              </w:rPr>
              <w:t>Imaging text describing progression, new lesions or relapse (negations excluded)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Responder score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50% biomarker prior (PD-L1, MSI-H, TMB-H, hot tumour, albumin) + 50% regularised logistic model</w:t>
            </w:r>
          </w:p>
        </w:tc>
      </w:tr>
      <w:tr>
        <w:tc>
          <w:tcPr>
            <w:tcW w:type="dxa" w:w="2448"/>
            <w:shd w:val="clear" w:color="auto" w:fill="EAF2F1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7200"/>
            <w:shd w:val="clear" w:color="auto" w:fill="EAF2F1"/>
          </w:tcPr>
          <w:p>
            <w:r>
              <w:rPr>
                <w:sz w:val="18"/>
              </w:rPr>
              <w:t>Repeated 5-fold CV (Cox); leave-one-out AUC with bootstrap CI (responder score)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F7C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