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07A5F"/>
          <w:sz w:val="19"/>
        </w:rPr>
        <w:t>PRECISION ONCOLOGY ANALYSIS</w:t>
      </w:r>
    </w:p>
    <w:p>
      <w:r>
        <w:rPr>
          <w:b/>
          <w:color w:val="1B3A4B"/>
          <w:sz w:val="46"/>
        </w:rPr>
        <w:t>Manual Analysis Report</w:t>
      </w:r>
    </w:p>
    <w:p>
      <w:r>
        <w:rPr>
          <w:i/>
          <w:color w:val="5A6B72"/>
          <w:sz w:val="22"/>
        </w:rPr>
        <w:t>Clinical, pathological, molecular and outcome patterns in 82 cancer patients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1"/>
          </w:tcPr>
          <w:p>
            <w:r>
              <w:rPr>
                <w:b/>
              </w:rPr>
              <w:t xml:space="preserve">Scope.  </w:t>
            </w:r>
            <w:r>
              <w:t>Descriptive, pattern-finding analysis of the combined patient workbook, with interpretation of each chart. This draft was produced on the sample (fake) dataset; numbers will change when the real workbook is run.</w:t>
            </w:r>
          </w:p>
        </w:tc>
      </w:tr>
    </w:tbl>
    <w:p>
      <w:pPr>
        <w:spacing w:after="40"/>
      </w:pPr>
    </w:p>
    <w:p>
      <w:pPr>
        <w:pStyle w:val="Heading1"/>
      </w:pPr>
      <w:r>
        <w:t>1. Dataset and data quality</w:t>
      </w:r>
    </w:p>
    <w:p>
      <w:pPr>
        <w:spacing w:after="120"/>
      </w:pPr>
      <w:r>
        <w:rPr>
          <w:i w:val="0"/>
        </w:rPr>
        <w:t>The workbook holds 82 unique patients after cleaning. Each patient has demographics, pathology, staging, treatment, baseline laboratory values (cycle 1), biomarker results, imaging narrative and survival status. A genomics sheet supplies sequencing text for a subset.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854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5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1. Share of patients with a usable value for each key field.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Bars show how many patients have each field filled in and interpretable. Red bars (&lt;40%) mark fields too sparse for firm conclusions.</w:t>
      </w:r>
    </w:p>
    <w:p>
      <w:pPr>
        <w:pStyle w:val="ListBullet"/>
        <w:spacing w:after="60"/>
      </w:pPr>
      <w:r>
        <w:rPr>
          <w:b/>
        </w:rPr>
        <w:t xml:space="preserve">Staging: </w:t>
      </w:r>
      <w:r>
        <w:t>77% of patients have a recorded stage (14 more were inferred as stage IV from M1 status).</w:t>
      </w:r>
    </w:p>
    <w:p>
      <w:pPr>
        <w:pStyle w:val="ListBullet"/>
        <w:spacing w:after="60"/>
      </w:pPr>
      <w:r>
        <w:rPr>
          <w:b/>
        </w:rPr>
        <w:t xml:space="preserve">Response: </w:t>
      </w:r>
      <w:r>
        <w:t>only 61% have an imaging response that could be read from the report text.</w:t>
      </w:r>
    </w:p>
    <w:p>
      <w:pPr>
        <w:pStyle w:val="ListBullet"/>
        <w:spacing w:after="60"/>
      </w:pPr>
      <w:r>
        <w:rPr>
          <w:b/>
        </w:rPr>
        <w:t xml:space="preserve">Molecular data: </w:t>
      </w:r>
      <w:r>
        <w:t>gene-level genomic results exist for 13 patients (16%); PD-L1 percentage for 15.</w:t>
      </w:r>
    </w:p>
    <w:p>
      <w:pPr>
        <w:spacing w:after="120"/>
      </w:pPr>
      <w:r>
        <w:rPr>
          <w:i w:val="0"/>
        </w:rPr>
        <w:t>Cleaning actions recorded by the pipeline:</w:t>
      </w:r>
    </w:p>
    <w:p>
      <w:pPr>
        <w:pStyle w:val="ListBullet"/>
        <w:spacing w:after="60"/>
      </w:pPr>
      <w:r>
        <w:t>Patient names removed and scrubbed from free text; 5 notes contained a name that was masked.</w:t>
      </w:r>
    </w:p>
    <w:p>
      <w:pPr>
        <w:pStyle w:val="ListBullet"/>
        <w:spacing w:after="60"/>
      </w:pPr>
      <w:r>
        <w:t>Duplicate patient IDs collapsed to the most complete record.</w:t>
      </w:r>
    </w:p>
    <w:p>
      <w:pPr>
        <w:pStyle w:val="ListBullet"/>
        <w:spacing w:after="60"/>
      </w:pPr>
      <w:r>
        <w:t>Lab values with mixed units (e.g. cells/µL, lakh/cmm, ×10³) standardised; implausible values set to missing.</w:t>
      </w:r>
    </w:p>
    <w:p>
      <w:pPr>
        <w:pStyle w:val="ListBullet"/>
        <w:spacing w:after="60"/>
      </w:pPr>
      <w:r>
        <w:t>Dates in Excel-serial, dd/mm/yyyy and written-month formats parsed; dates after the record's entry time discarded.</w:t>
      </w:r>
    </w:p>
    <w:p>
      <w:pPr>
        <w:pStyle w:val="Heading1"/>
      </w:pPr>
      <w:r>
        <w:t>2. Who are the patients?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825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graph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25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2. Age distribution by sex, with smoking and alcohol history.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Median age is 62 years (range 16–96); 40 men and 41 women. 18% report a smoking history and 13% alcohol use.</w:t>
      </w:r>
    </w:p>
    <w:p>
      <w:pPr>
        <w:spacing w:after="120"/>
      </w:pPr>
      <w:r>
        <w:rPr>
          <w:i w:val="0"/>
        </w:rPr>
        <w:t>Interpretation: the wide age range suggests a mixed cohort rather than a single disease population, so subgroup comparisons should be made within cancer site.</w:t>
      </w:r>
    </w:p>
    <w:p>
      <w:pPr>
        <w:pStyle w:val="Heading1"/>
      </w:pPr>
      <w:r>
        <w:t>3. Cancer type and stage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777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3. Patients by cancer site group, stacked by cancer class.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The most common site groups are Breast (18), Hematologic (11), Hepatobiliary (9). 34 patients are classified as metastatic solid disease and 7 as hematologic cancers.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146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4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4. Stage distribution and stage by site (solid tumours).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Among patients with a known stage, 63% are stage IV, so the cohort is skewed toward advanced disease. A large 'not recorded' group means stage-based comparisons cover only part of the cohort.</w:t>
      </w:r>
    </w:p>
    <w:p>
      <w:pPr>
        <w:pStyle w:val="Heading1"/>
      </w:pPr>
      <w:r>
        <w:t>4. Treatment patterns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152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t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5. Treatment modality utilisation overall and by stage group.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Chemotherapy is the most used modality (90%), followed by immunotherapy (38%), surgery (72%) and radiation (13%).</w:t>
      </w:r>
    </w:p>
    <w:p>
      <w:pPr>
        <w:keepNext/>
      </w:pPr>
      <w:r>
        <w:rPr>
          <w:i/>
          <w:sz w:val="18"/>
        </w:rPr>
        <w:t>Table 1. Most frequent treatment combinations (as recorded).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6048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Treatment combination</w:t>
            </w:r>
          </w:p>
        </w:tc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Patients</w:t>
            </w:r>
          </w:p>
        </w:tc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Immunotherapy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Immunotherapy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Radiation + 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Hormonal Therapy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Hormonal Therapy + Radiation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4%</w:t>
            </w:r>
          </w:p>
        </w:tc>
      </w:tr>
    </w:tbl>
    <w:p>
      <w:pPr>
        <w:spacing w:after="40"/>
      </w:pPr>
    </w:p>
    <w:p>
      <w:pPr>
        <w:pStyle w:val="Heading1"/>
      </w:pPr>
      <w:r>
        <w:t>5. Response to treatment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294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6. Best imaging response documented in the report text, overall and by site.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Of 50 patients with a readable response, 25 (50%) showed a complete or partial response; 33 patients have at least one report describing progression.</w:t>
      </w:r>
    </w:p>
    <w:p>
      <w:pPr>
        <w:spacing w:after="120"/>
      </w:pPr>
      <w:r>
        <w:rPr>
          <w:i w:val="0"/>
        </w:rPr>
        <w:t>Interpretation: response is inferred from keywords in imaging narratives (e.g. 'reduction in size', 'new lesion'), so it approximates RECIST rather than replacing it. Response labels should be hand-checked on a sample before they are quoted.</w:t>
      </w:r>
    </w:p>
    <w:p>
      <w:pPr>
        <w:pStyle w:val="Heading1"/>
      </w:pPr>
      <w:r>
        <w:t>6. Molecular and biomarker landscape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935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mark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7. MSI status, PD-L1 expression and tumour immune phenotype.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MSI status is available for 20 patients, of whom 7 are MSI-high. PD-L1 was tested in 28 patients (12 positive; 0 with ≥50% where a percentage was recorded). Tumours are labelled hot in 3 and cold in 10 patients.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567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6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8. Genes with an altered result among patients that have a gene-level report.</w:t>
      </w:r>
    </w:p>
    <w:p>
      <w:pPr>
        <w:spacing w:after="120"/>
      </w:pPr>
      <w:r>
        <w:rPr>
          <w:i w:val="0"/>
        </w:rPr>
        <w:t>Interpretation: with so few sequenced patients, frequencies are indicative only; the sequencing column also holds non-genomic reports (IHC, flow cytometry), which the pipeline deliberately does not count as genomic tests.</w:t>
      </w:r>
    </w:p>
    <w:p>
      <w:pPr>
        <w:pStyle w:val="Heading1"/>
      </w:pPr>
      <w:r>
        <w:t>7. Survival status and follow-up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5532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all_man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5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9. Kaplan–Meier estimate for all patients with usable follow-up.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844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tage_man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10. Survival by stage group (log-rank test).</w:t>
      </w:r>
    </w:p>
    <w:p>
      <w:pPr>
        <w:spacing w:after="120"/>
      </w:pPr>
      <w:r>
        <w:rPr>
          <w:b/>
        </w:rPr>
        <w:t xml:space="preserve">Pattern: </w:t>
      </w:r>
      <w:r>
        <w:rPr>
          <w:i w:val="0"/>
        </w:rPr>
        <w:t>54 patients are recorded as living, 16 deceased and 12 'not known'. Median follow-up is 6.9 months. Stage-group log-rank p = 0.10.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EE8"/>
          </w:tcPr>
          <w:p>
            <w:r>
              <w:rPr>
                <w:b/>
              </w:rPr>
              <w:t xml:space="preserve">Caution.  </w:t>
            </w:r>
            <w:r>
              <w:t>The sheet has no death date or last-contact date, so survival time is the span between the first dated treatment/imaging entry and the last dated entry. Treat curves as exploratory until true dates are available.</w:t>
            </w:r>
          </w:p>
        </w:tc>
      </w:tr>
    </w:tbl>
    <w:p>
      <w:pPr>
        <w:spacing w:after="40"/>
      </w:pPr>
    </w:p>
    <w:p>
      <w:pPr>
        <w:pStyle w:val="Heading1"/>
      </w:pPr>
      <w:r>
        <w:t>8. Key patterns and interpretations</w:t>
      </w:r>
    </w:p>
    <w:p>
      <w:pPr>
        <w:pStyle w:val="ListBullet"/>
        <w:spacing w:after="60"/>
      </w:pPr>
      <w:r>
        <w:rPr>
          <w:b/>
        </w:rPr>
        <w:t xml:space="preserve">Stage mix. </w:t>
      </w:r>
      <w:r>
        <w:t>63% of staged patients are stage IV; findings therefore mostly describe advanced disease.</w:t>
      </w:r>
    </w:p>
    <w:p>
      <w:pPr>
        <w:pStyle w:val="ListBullet"/>
        <w:spacing w:after="60"/>
      </w:pPr>
      <w:r>
        <w:rPr>
          <w:b/>
        </w:rPr>
        <w:t xml:space="preserve">Treatment intensity. </w:t>
      </w:r>
      <w:r>
        <w:t>Chemotherapy appears in 90% of patients; most patients receive it, usually combined with another modality.</w:t>
      </w:r>
    </w:p>
    <w:p>
      <w:pPr>
        <w:pStyle w:val="ListBullet"/>
        <w:spacing w:after="60"/>
      </w:pPr>
      <w:r>
        <w:rPr>
          <w:b/>
        </w:rPr>
        <w:t xml:space="preserve">Immunotherapy and biomarker testing. </w:t>
      </w:r>
      <w:r>
        <w:t>38% received immunotherapy while PD-L1 percentage is recorded for 18%; testing appears to lag prescribing.</w:t>
      </w:r>
    </w:p>
    <w:p>
      <w:pPr>
        <w:pStyle w:val="ListBullet"/>
        <w:spacing w:after="60"/>
      </w:pPr>
      <w:r>
        <w:rPr>
          <w:b/>
        </w:rPr>
        <w:t xml:space="preserve">Response data. </w:t>
      </w:r>
      <w:r>
        <w:t>39% of patients have no response that can be read from text; a structured response field would unlock much more analysis.</w:t>
      </w:r>
    </w:p>
    <w:p>
      <w:pPr>
        <w:pStyle w:val="ListBullet"/>
        <w:spacing w:after="60"/>
      </w:pPr>
      <w:r>
        <w:rPr>
          <w:b/>
        </w:rPr>
        <w:t xml:space="preserve">Molecular data. </w:t>
      </w:r>
      <w:r>
        <w:t>20 patients carry at least one biomarker with an approved-therapy association at gene level (to be verified at variant level).</w:t>
      </w:r>
    </w:p>
    <w:p>
      <w:pPr>
        <w:pStyle w:val="Heading1"/>
      </w:pPr>
      <w:r>
        <w:t>9. Limitations and next steps</w:t>
      </w:r>
    </w:p>
    <w:p>
      <w:pPr>
        <w:pStyle w:val="ListBullet"/>
        <w:spacing w:after="60"/>
      </w:pPr>
      <w:r>
        <w:t>Single-centre, small sample; subgroup results are hypothesis-generating.</w:t>
      </w:r>
    </w:p>
    <w:p>
      <w:pPr>
        <w:pStyle w:val="ListBullet"/>
        <w:spacing w:after="60"/>
      </w:pPr>
      <w:r>
        <w:t>Free-text parsing (stage, response, genes) is rule-based; validate on a hand-reviewed sample.</w:t>
      </w:r>
    </w:p>
    <w:p>
      <w:pPr>
        <w:pStyle w:val="ListBullet"/>
        <w:spacing w:after="60"/>
      </w:pPr>
      <w:r>
        <w:t>Add structured death date, last-contact date, RECIST response and variant-level genomics to the data entry form.</w:t>
      </w:r>
    </w:p>
    <w:p>
      <w:pPr>
        <w:pStyle w:val="ListBullet"/>
        <w:spacing w:after="60"/>
      </w:pPr>
      <w:r>
        <w:t>Replace proxy survival with true time-to-event once dates are captured.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F7C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