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before="0" w:after="180"/>
      </w:pPr>
      <w:r>
        <w:t>Пять сценариев работы учебного центра в DEMO</w:t>
      </w:r>
    </w:p>
    <w:p>
      <w:pPr>
        <w:pStyle w:val="Subtitle"/>
        <w:keepNext w:val="0"/>
        <w:spacing w:before="0" w:after="260"/>
      </w:pPr>
      <w:r>
        <w:t>Сценарий презентации на 16–20 минут с реальными скриншотами и результатами</w:t>
      </w:r>
    </w:p>
    <w:p>
      <w:pPr>
        <w:keepNext w:val="0"/>
        <w:spacing w:before="0" w:after="80"/>
      </w:pPr>
      <w:r>
        <w:rPr>
          <w:b/>
        </w:rPr>
        <w:t xml:space="preserve">Аудитория  </w:t>
      </w:r>
      <w:r>
        <w:t>Руководитель учебного центра, оператор заявок и сотрудник, выпускающий документы</w:t>
      </w:r>
    </w:p>
    <w:p>
      <w:pPr>
        <w:keepNext w:val="0"/>
        <w:spacing w:before="0" w:after="80"/>
      </w:pPr>
      <w:r>
        <w:rPr>
          <w:b/>
        </w:rPr>
        <w:t xml:space="preserve">Дата  </w:t>
      </w:r>
      <w:r>
        <w:t>30 сентября 2026 года</w:t>
      </w:r>
    </w:p>
    <w:p>
      <w:pPr>
        <w:keepNext w:val="0"/>
        <w:spacing w:before="0" w:after="80"/>
      </w:pPr>
      <w:r>
        <w:rPr>
          <w:b/>
        </w:rPr>
        <w:t xml:space="preserve">Ведущий  </w:t>
      </w:r>
      <w:r>
        <w:t>Ведущий демонстрации учебного центра</w:t>
      </w:r>
    </w:p>
    <w:p>
      <w:pPr>
        <w:keepNext w:val="0"/>
        <w:spacing w:before="180" w:after="260"/>
      </w:pPr>
      <w:r>
        <w:t>Откройте сайт и пройдите пять сценариев: загрузите список, соберите документы для разных категорий, проверьте даты, выпустите файлы и покажите связанное исправление. Каждый экран сопровождается действием, акцентом для аудитории и короткой репликой ведущего.</w:t>
      </w:r>
    </w:p>
    <w:p>
      <w:pPr>
        <w:pStyle w:val="Heading2"/>
        <w:keepNext w:val="0"/>
        <w:spacing w:before="0" w:after="160"/>
      </w:pPr>
      <w:r>
        <w:t>Пять кейсов демонстрации</w:t>
      </w:r>
    </w:p>
    <w:p>
      <w:pPr>
        <w:keepNext w:val="0"/>
        <w:spacing w:before="0" w:after="160"/>
      </w:pPr>
      <w:r>
        <w:rPr>
          <w:b/>
        </w:rPr>
        <w:t>1  250 получателей из одной таблицы</w:t>
      </w:r>
      <w:r>
        <w:t xml:space="preserve"> — Перенести подготовленный список и проверить состав без повторного ввода каждой строки.</w:t>
      </w:r>
    </w:p>
    <w:p>
      <w:pPr>
        <w:keepNext w:val="0"/>
        <w:spacing w:before="0" w:after="160"/>
      </w:pPr>
      <w:r>
        <w:rPr>
          <w:b/>
        </w:rPr>
        <w:t>2  Рабочие и ИТР в одной заявке</w:t>
      </w:r>
      <w:r>
        <w:t xml:space="preserve"> — Назначить каждой группе свой комплект и увидеть два общих протокола до выпуска.</w:t>
      </w:r>
    </w:p>
    <w:p>
      <w:pPr>
        <w:keepNext w:val="0"/>
        <w:spacing w:before="0" w:after="160"/>
      </w:pPr>
      <w:r>
        <w:rPr>
          <w:b/>
        </w:rPr>
        <w:t>3  Расчёт дат и ручное исключение</w:t>
      </w:r>
      <w:r>
        <w:t xml:space="preserve"> — Применить единый график, увидеть объяснение периода и сохранить осознанное уточнение.</w:t>
      </w:r>
    </w:p>
    <w:p>
      <w:pPr>
        <w:keepNext w:val="0"/>
        <w:spacing w:before="0" w:after="160"/>
      </w:pPr>
      <w:r>
        <w:rPr>
          <w:b/>
        </w:rPr>
        <w:t>4  От проверки до полного комплекта файлов</w:t>
      </w:r>
      <w:r>
        <w:t xml:space="preserve"> — Проверить макет, оформить выпуск и получить готовый архив для передачи заказчику.</w:t>
      </w:r>
    </w:p>
    <w:p>
      <w:pPr>
        <w:keepNext w:val="0"/>
        <w:spacing w:before="0" w:after="160"/>
      </w:pPr>
      <w:r>
        <w:rPr>
          <w:b/>
        </w:rPr>
        <w:t>5  Исправление с сохранением истории</w:t>
      </w:r>
      <w:r>
        <w:t xml:space="preserve"> — Внести уточнение через связанный выпуск и сохранить доступ к исходному комплекту.</w:t>
      </w:r>
    </w:p>
    <w:p>
      <w:pPr>
        <w:keepNext w:val="0"/>
        <w:spacing w:before="160" w:after="100"/>
      </w:pPr>
      <w:r>
        <w:t xml:space="preserve">Приложение  </w:t>
      </w:r>
      <w:hyperlink r:id="rId10">
        <w:r>
          <w:rPr>
            <w:rFonts w:ascii="Arial" w:hAnsi="Arial"/>
            <w:color w:val="000000"/>
            <w:u w:val="single"/>
          </w:rPr>
          <w:t>http://localhost:3120</w:t>
        </w:r>
      </w:hyperlink>
    </w:p>
    <w:p>
      <w:pPr>
        <w:keepNext w:val="0"/>
        <w:spacing w:before="160" w:after="100"/>
      </w:pPr>
      <w:r>
        <w:t>Снимки сделаны 30.09.2026 в работающей локальной DEMO на синтетических данных. В конце — ссылки на сохранённые примеры и свежий проверенный черновик для показа сегодня. Адрес localhost работает на этом компьютере при запущенном приложении.</w:t>
      </w:r>
    </w:p>
    <w:p>
      <w:pPr>
        <w:pStyle w:val="Heading1"/>
        <w:keepNext/>
        <w:pageBreakBefore/>
        <w:spacing w:before="0" w:after="140"/>
      </w:pPr>
      <w:r>
        <w:t>Маршрут демонстрации и подготовка</w:t>
      </w:r>
    </w:p>
    <w:p>
      <w:pPr>
        <w:keepNext w:val="0"/>
        <w:spacing w:before="0" w:after="180"/>
      </w:pPr>
      <w:r>
        <w:t>Показывайте результат каждого сценария сразу после действия. Время ниже — план показа, а не замер скорости системы. Полный ввод можно выполнить заранее; на встрече пройти ключевые операции и открыть сохранённый результат.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8957"/>
        <w:gridCol w:w="1644"/>
      </w:tblGrid>
      <w:tr>
        <w:trPr>
          <w:tblHeader w:val="true"/>
          <w:cantSplit/>
        </w:trPr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F0"/>
          </w:tcPr>
          <w:p>
            <w:pPr>
              <w:keepNext/>
              <w:spacing w:after="0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Кейс</w:t>
            </w:r>
          </w:p>
        </w:tc>
        <w:tc>
          <w:tcPr>
            <w:tcW w:type="dxa" w:w="89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F0"/>
          </w:tcPr>
          <w:p>
            <w:pPr>
              <w:keepNext/>
              <w:spacing w:after="0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Ценность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F0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>Время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1  250 получателей из одной таблицы</w:t>
            </w:r>
          </w:p>
        </w:tc>
        <w:tc>
          <w:tcPr>
            <w:tcW w:type="dxa" w:w="89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Перенести подготовленный список и проверить состав без повторного ввода каждой строки.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3–4 минуты показа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2  Рабочие и ИТР в одной заявке</w:t>
            </w:r>
          </w:p>
        </w:tc>
        <w:tc>
          <w:tcPr>
            <w:tcW w:type="dxa" w:w="89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Назначить каждой группе свой комплект и увидеть два общих протокола до выпуска.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4–5 минут показа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3  Расчёт дат и ручное исключение</w:t>
            </w:r>
          </w:p>
        </w:tc>
        <w:tc>
          <w:tcPr>
            <w:tcW w:type="dxa" w:w="89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Применить единый график, увидеть объяснение периода и сохранить осознанное уточнение.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3 минуты показа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4  От проверки до полного комплекта файлов</w:t>
            </w:r>
          </w:p>
        </w:tc>
        <w:tc>
          <w:tcPr>
            <w:tcW w:type="dxa" w:w="89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Проверить макет, оформить выпуск и получить готовый архив для передачи заказчику.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3–4 минуты показа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5  Исправление с сохранением истории</w:t>
            </w:r>
          </w:p>
        </w:tc>
        <w:tc>
          <w:tcPr>
            <w:tcW w:type="dxa" w:w="8957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Внести уточнение через связанный выпуск и сохранить доступ к исходному комплекту.</w:t>
            </w:r>
          </w:p>
        </w:tc>
        <w:tc>
          <w:tcPr>
            <w:tcW w:type="dxa" w:w="16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3–4 минуты показа</w:t>
            </w:r>
          </w:p>
        </w:tc>
      </w:tr>
    </w:tbl>
    <w:p>
      <w:pPr>
        <w:pStyle w:val="Heading2"/>
        <w:keepNext w:val="0"/>
        <w:spacing w:before="260" w:after="160"/>
      </w:pPr>
      <w:r>
        <w:t>Перед началом</w:t>
      </w:r>
    </w:p>
    <w:p>
      <w:pPr>
        <w:keepNext w:val="0"/>
        <w:spacing w:before="0" w:after="140"/>
        <w:ind w:left="142" w:hanging="142"/>
      </w:pPr>
      <w:r>
        <w:t>• Сначала в «Настройки» заполните профиль центра: БИН, адрес, руководитель и комиссия из 3 человек. Сохраните и утвердите полную версию 2; проверьте выбранные формы документов.</w:t>
      </w:r>
    </w:p>
    <w:p>
      <w:pPr>
        <w:keepNext w:val="0"/>
        <w:spacing w:before="0" w:after="140"/>
        <w:ind w:left="142" w:hanging="142"/>
      </w:pPr>
      <w:r>
        <w:t>• До создания новой заявки добавьте в «Заказчики» синтетическую организацию «ТОО Демонстрация» с БИН и адресом. Затем выберите её в заявке; одного названия организации для полного выпуска недостаточно.</w:t>
      </w:r>
    </w:p>
    <w:p>
      <w:pPr>
        <w:keepNext w:val="0"/>
        <w:spacing w:before="0" w:after="140"/>
        <w:ind w:left="142" w:hanging="142"/>
      </w:pPr>
      <w:r>
        <w:t>• Только после подготовки профиля создавайте новую заявку: старый черновик сохраняет закреплённую версию. В событиях рабочих и ИТР проверьте «Профиль эмитента и комиссия»: версия 2, утверждён.</w:t>
      </w:r>
    </w:p>
    <w:p>
      <w:pPr>
        <w:keepNext w:val="0"/>
        <w:spacing w:before="0" w:after="140"/>
        <w:ind w:left="142" w:hanging="142"/>
      </w:pPr>
      <w:r>
        <w:t>• Войдите в локальный тестовый центр по http://localhost:3120. Убедитесь, что стоит «Тестовый комплект». Для выпуска заранее проверьте доступность обработки документов и тестовых форм.</w:t>
      </w:r>
    </w:p>
    <w:p>
      <w:pPr>
        <w:keepNext w:val="0"/>
        <w:spacing w:before="0" w:after="140"/>
        <w:ind w:left="142" w:hanging="142"/>
      </w:pPr>
      <w:r>
        <w:t>• Для импорта используйте Demo_250.tsv из комплекта: откройте как текст и скопируйте таблицу с заголовками. Перед вставкой 250 строк удалите начального пустого получателя; в заявке должно остаться 0.</w:t>
      </w:r>
    </w:p>
    <w:p>
      <w:pPr>
        <w:keepNext w:val="0"/>
        <w:spacing w:before="0" w:after="140"/>
        <w:ind w:left="142" w:hanging="142"/>
      </w:pPr>
      <w:r>
        <w:t>• Смешанный черновик для показа уже подготовлен: Иванов — электромонтёр, Петров — монтажник, Сериков — инженер; ТОО Демонстрация, 2 события, 5 документов. Для календаря подготовлен один получатель ПТМ.</w:t>
      </w:r>
    </w:p>
    <w:p>
      <w:pPr>
        <w:pStyle w:val="Heading1"/>
        <w:keepNext/>
        <w:pageBreakBefore/>
        <w:spacing w:before="0" w:after="140"/>
      </w:pPr>
      <w:r>
        <w:t>Кейс 1  250 получателей из одной таблицы</w:t>
      </w:r>
    </w:p>
    <w:p>
      <w:pPr>
        <w:pStyle w:val="Heading2"/>
        <w:keepNext/>
        <w:spacing w:before="0" w:after="120"/>
      </w:pPr>
      <w:r>
        <w:t>Шаг 1  Создайте заявку организации и освободите первую строку</w:t>
      </w:r>
    </w:p>
    <w:p>
      <w:pPr>
        <w:keepNext/>
        <w:spacing w:before="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927709" cy="4608000"/>
            <wp:docPr id="1" name="Picture 1" descr="Создание новой заявки с выбранным типом Организац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ss_star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927709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b/>
        </w:rPr>
        <w:t xml:space="preserve">Действия  </w:t>
      </w:r>
      <w:r>
        <w:t>В разделе «Заявки» создайте заявку. Выберите «Организация» → «Перейти к людям и документам». Удалите начального пустого получателя и подтвердите «Убрать из заявки».</w:t>
      </w:r>
    </w:p>
    <w:p>
      <w:pPr>
        <w:keepNext/>
        <w:spacing w:before="0" w:after="80"/>
      </w:pPr>
      <w:r>
        <w:rPr>
          <w:b/>
        </w:rPr>
        <w:t xml:space="preserve">Показать  </w:t>
      </w:r>
      <w:r>
        <w:t>Начало заявки без готового комплекта БиОТ. Для импорта всех 250 строк в черновике должно остаться 0 получателей.</w:t>
      </w:r>
    </w:p>
    <w:p>
      <w:pPr>
        <w:keepNext w:val="0"/>
        <w:spacing w:before="0" w:after="80"/>
      </w:pPr>
      <w:r>
        <w:rPr>
          <w:b/>
        </w:rPr>
        <w:t xml:space="preserve">Сказать  </w:t>
      </w:r>
      <w:r>
        <w:t>Начинаем со списка заказчика. Одна заявка вмещает до 250 получателей; сначала освобождаем строку, которую интерфейс добавляет при создании.</w:t>
      </w:r>
    </w:p>
    <w:p>
      <w:pPr>
        <w:pStyle w:val="Heading1"/>
        <w:keepNext/>
        <w:pageBreakBefore/>
        <w:spacing w:before="0" w:after="140"/>
      </w:pPr>
      <w:r>
        <w:t>Кейс 1  250 получателей из одной таблицы</w:t>
      </w:r>
    </w:p>
    <w:p>
      <w:pPr>
        <w:pStyle w:val="Heading2"/>
        <w:keepNext/>
        <w:spacing w:before="0" w:after="120"/>
      </w:pPr>
      <w:r>
        <w:t>Шаг 2  Загрузите таблицу и проверьте соответствие колонок</w:t>
      </w:r>
    </w:p>
    <w:p>
      <w:pPr>
        <w:keepNext/>
        <w:spacing w:before="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930050" cy="4608000"/>
            <wp:docPr id="2" name="Picture 2" descr="Сопоставление колонок 250 импортируемых получателе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ass_mapping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3005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b/>
        </w:rPr>
        <w:t xml:space="preserve">Действия  </w:t>
      </w:r>
      <w:r>
        <w:t>Нажмите «Импорт / вставка». Скопируйте содержимое Demo_250.tsv в «Или вставьте таблицу с заголовками» → «Перейти к сопоставлению». Проверьте колонки и выберите «ПТМ — удостоверение».</w:t>
      </w:r>
    </w:p>
    <w:p>
      <w:pPr>
        <w:keepNext/>
        <w:spacing w:before="0" w:after="80"/>
      </w:pPr>
      <w:r>
        <w:rPr>
          <w:b/>
        </w:rPr>
        <w:t xml:space="preserve">Показать  </w:t>
      </w:r>
      <w:r>
        <w:t>Прочитано 250, выбрано 250, в черновике 0. ФИО RU/KZ, должность, место работы, табельный номер и ID. Документ: «ПТМ — удостоверение».</w:t>
      </w:r>
    </w:p>
    <w:p>
      <w:pPr>
        <w:keepNext w:val="0"/>
        <w:spacing w:before="0" w:after="80"/>
      </w:pPr>
      <w:r>
        <w:rPr>
          <w:b/>
        </w:rPr>
        <w:t xml:space="preserve">Сказать  </w:t>
      </w:r>
      <w:r>
        <w:t>Оператор видит данные до добавления. Здесь можно проверить язык, колонки и документ, который будет назначен всем импортируемым строкам.</w:t>
      </w:r>
    </w:p>
    <w:p>
      <w:pPr>
        <w:pStyle w:val="Heading1"/>
        <w:keepNext/>
        <w:pageBreakBefore/>
        <w:spacing w:before="0" w:after="140"/>
      </w:pPr>
      <w:r>
        <w:t>Кейс 1  250 получателей из одной таблицы</w:t>
      </w:r>
    </w:p>
    <w:p>
      <w:pPr>
        <w:pStyle w:val="Heading2"/>
        <w:keepNext/>
        <w:spacing w:before="0" w:after="120"/>
      </w:pPr>
      <w:r>
        <w:t>Шаг 3  Добавьте 250 строк и сохраните черновик</w:t>
      </w:r>
    </w:p>
    <w:p>
      <w:pPr>
        <w:keepNext/>
        <w:spacing w:before="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930050" cy="4608000"/>
            <wp:docPr id="3" name="Picture 3" descr="Сохранённая таблица получателей RU и KZ со счётчиком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ass_save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93005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b/>
        </w:rPr>
        <w:t xml:space="preserve">Действия  </w:t>
      </w:r>
      <w:r>
        <w:t>Нажмите «Добавить 250 строк в черновик», задайте название «Презентация — 250 сотрудников из таблицы» и нажмите «Сохранить». В таблице включите «RU + KZ» и «Табельный номер и ID».</w:t>
      </w:r>
    </w:p>
    <w:p>
      <w:pPr>
        <w:keepNext/>
        <w:spacing w:before="0" w:after="80"/>
      </w:pPr>
      <w:r>
        <w:rPr>
          <w:b/>
        </w:rPr>
        <w:t xml:space="preserve">Показать  </w:t>
      </w:r>
      <w:r>
        <w:t>Внизу: «250 получателей · 250 документов» и «Сохранено». В первых строках видны оба языка и табельные номера 00001, 00002, 00003.</w:t>
      </w:r>
    </w:p>
    <w:p>
      <w:pPr>
        <w:keepNext w:val="0"/>
        <w:spacing w:before="0" w:after="80"/>
      </w:pPr>
      <w:r>
        <w:rPr>
          <w:b/>
        </w:rPr>
        <w:t xml:space="preserve">Сказать  </w:t>
      </w:r>
      <w:r>
        <w:t>Список уже сохранён в заявке. Документы пока запланированы; номера и файлы появляются на отдельном этапе оформления.</w:t>
      </w:r>
    </w:p>
    <w:p>
      <w:pPr>
        <w:pStyle w:val="Heading1"/>
        <w:keepNext/>
        <w:pageBreakBefore/>
        <w:spacing w:before="0" w:after="140"/>
      </w:pPr>
      <w:r>
        <w:t>Кейс 1  250 получателей из одной таблицы</w:t>
      </w:r>
    </w:p>
    <w:p>
      <w:pPr>
        <w:pStyle w:val="Heading2"/>
        <w:keepNext/>
        <w:spacing w:before="0" w:after="120"/>
      </w:pPr>
      <w:r>
        <w:t>Шаг 4  Найдите последнюю строку по внешнему ID</w:t>
      </w:r>
    </w:p>
    <w:p>
      <w:pPr>
        <w:keepNext/>
        <w:spacing w:before="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930050" cy="4608000"/>
            <wp:docPr id="4" name="Picture 4" descr="Поиск DEMO-PRES-250 находит единственного получателя с табельным номером 00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ss_las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3005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b/>
        </w:rPr>
        <w:t xml:space="preserve">Действия  </w:t>
      </w:r>
      <w:r>
        <w:t>В поле «Поиск в заявке» введите DEMO-PRES-250. Проверьте найденного человека и табельный номер 00250. Нажмите «Сбросить фильтры», чтобы вернуться ко всему списку.</w:t>
      </w:r>
    </w:p>
    <w:p>
      <w:pPr>
        <w:keepNext/>
        <w:spacing w:before="0" w:after="80"/>
      </w:pPr>
      <w:r>
        <w:rPr>
          <w:b/>
        </w:rPr>
        <w:t xml:space="preserve">Показать  </w:t>
      </w:r>
      <w:r>
        <w:t>Всего 250 из 250 получателей, показана одна строка с номером 250. В ней сохранены ФИО KZ, должность, организация и ведущие нули номера.</w:t>
      </w:r>
    </w:p>
    <w:p>
      <w:pPr>
        <w:keepNext w:val="0"/>
        <w:spacing w:before="0" w:after="80"/>
      </w:pPr>
      <w:r>
        <w:rPr>
          <w:b/>
        </w:rPr>
        <w:t xml:space="preserve">Сказать  </w:t>
      </w:r>
      <w:r>
        <w:t>Даже в большой заявке можно быстро найти конкретного человека по ID. Поиск меняет видимый список, а не состав заявки.</w:t>
      </w:r>
    </w:p>
    <w:p>
      <w:pPr>
        <w:pStyle w:val="Heading1"/>
        <w:keepNext/>
        <w:pageBreakBefore/>
        <w:spacing w:before="0" w:after="140"/>
      </w:pPr>
      <w:r>
        <w:t>Кейс 2  Рабочие и ИТР в одной заявке</w:t>
      </w:r>
    </w:p>
    <w:p>
      <w:pPr>
        <w:pStyle w:val="Heading2"/>
        <w:keepNext/>
        <w:spacing w:before="0" w:after="120"/>
      </w:pPr>
      <w:r>
        <w:t>Шаг 1  Покажите общие сведения события двух рабочих</w:t>
      </w:r>
    </w:p>
    <w:p>
      <w:pPr>
        <w:keepNext/>
        <w:spacing w:before="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930050" cy="4608000"/>
            <wp:docPr id="5" name="Picture 5" descr="Событие рабочих с утверждённой версией профиля 2, программой и датам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workers_outcom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93005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b/>
        </w:rPr>
        <w:t xml:space="preserve">Действия  </w:t>
      </w:r>
      <w:r>
        <w:t>Откройте готовый черновик «Показ сегодня — рабочие и ИТР» по ссылке в конце. Нажмите «Настроить даты и протоколы» → в «Событие» выберите группу рабочих. Покажите даты, 10 часов теории и 16 производственных часов.</w:t>
      </w:r>
    </w:p>
    <w:p>
      <w:pPr>
        <w:keepNext/>
        <w:spacing w:before="0" w:after="80"/>
      </w:pPr>
      <w:r>
        <w:rPr>
          <w:b/>
        </w:rPr>
        <w:t xml:space="preserve">Показать  </w:t>
      </w:r>
      <w:r>
        <w:t>Профиль и комиссия версии 2; документ и протокол 30.09.2026; обучение 24–29.09.2026. Программа «Синтетический пример — безопасность и охрана труда», объём 10 часов.</w:t>
      </w:r>
    </w:p>
    <w:p>
      <w:pPr>
        <w:keepNext w:val="0"/>
        <w:spacing w:before="0" w:after="80"/>
      </w:pPr>
      <w:r>
        <w:rPr>
          <w:b/>
        </w:rPr>
        <w:t xml:space="preserve">Сказать  </w:t>
      </w:r>
      <w:r>
        <w:t>Одна группа получает общие сведения события. Даты и учебные объёмы здесь синтетические: для реальной заявки центр вводит сведения своей программы и проверки.</w:t>
      </w:r>
    </w:p>
    <w:p>
      <w:pPr>
        <w:pStyle w:val="Heading1"/>
        <w:keepNext/>
        <w:pageBreakBefore/>
        <w:spacing w:before="0" w:after="140"/>
      </w:pPr>
      <w:r>
        <w:t>Кейс 2  Рабочие и ИТР в одной заявке</w:t>
      </w:r>
    </w:p>
    <w:p>
      <w:pPr>
        <w:pStyle w:val="Heading2"/>
        <w:keepNext/>
        <w:spacing w:before="0" w:after="120"/>
      </w:pPr>
      <w:r>
        <w:t>Шаг 2  Покажите отдельное событие ИТР и фактические результаты</w:t>
      </w:r>
    </w:p>
    <w:p>
      <w:pPr>
        <w:keepNext/>
        <w:spacing w:before="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930050" cy="4608000"/>
            <wp:docPr id="6" name="Picture 6" descr="Подготовка подтверждения результата ИТР с источником и отдельными полями знаний и прокторинг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itr_confirmation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93005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b/>
        </w:rPr>
        <w:t xml:space="preserve">Действия  </w:t>
      </w:r>
      <w:r>
        <w:t>В «Событие» выберите группу ИТР. Покажите 40 часов, период 21–29.09.2026 и отрасль «Строительство / Құрылыс». Выберите строку инженера; раскройте блок «Подтвердить фактические результаты события».</w:t>
      </w:r>
    </w:p>
    <w:p>
      <w:pPr>
        <w:keepNext/>
        <w:spacing w:before="0" w:after="80"/>
      </w:pPr>
      <w:r>
        <w:rPr>
          <w:b/>
        </w:rPr>
        <w:t xml:space="preserve">Показать  </w:t>
      </w:r>
      <w:r>
        <w:t>Знания: «95 баллов — синтетическая ведомость»; прокторинг: «Подтверждён — синтетический пример». В блоке подтверждения: «Сдал» и источник «Синтетическая ведомость для презентации 30.09.2026».</w:t>
      </w:r>
    </w:p>
    <w:p>
      <w:pPr>
        <w:keepNext w:val="0"/>
        <w:spacing w:before="0" w:after="80"/>
      </w:pPr>
      <w:r>
        <w:rPr>
          <w:b/>
        </w:rPr>
        <w:t xml:space="preserve">Сказать  </w:t>
      </w:r>
      <w:r>
        <w:t>ИТР получает своё событие и свой протокол. На этом кадре подтверждение ещё не применено: оператор проверяет выбранный результат и его основание.</w:t>
      </w:r>
    </w:p>
    <w:p>
      <w:pPr>
        <w:pStyle w:val="Heading1"/>
        <w:keepNext/>
        <w:pageBreakBefore/>
        <w:spacing w:before="0" w:after="140"/>
      </w:pPr>
      <w:r>
        <w:t>Кейс 2  Рабочие и ИТР в одной заявке</w:t>
      </w:r>
    </w:p>
    <w:p>
      <w:pPr>
        <w:pStyle w:val="Heading2"/>
        <w:keepNext/>
        <w:spacing w:before="0" w:after="120"/>
      </w:pPr>
      <w:r>
        <w:t>Шаг 3  Подтвердите результаты и проверьте состав из пяти документов</w:t>
      </w:r>
    </w:p>
    <w:p>
      <w:pPr>
        <w:keepNext/>
        <w:spacing w:before="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930050" cy="4608000"/>
            <wp:docPr id="7" name="Picture 7" descr="Раскрытый состав смешанной заявки: два документа рабочих, один документ ИТР и два общих протокол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ixed_recipient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93005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b/>
        </w:rPr>
        <w:t xml:space="preserve">Действия  </w:t>
      </w:r>
      <w:r>
        <w:t>Выберите участников одного события → «Подтвердить фактические результаты события». Задайте «Сдал» и источник → «Проверить применение результатов» → «Подтвердить результаты». Повторите для второй группы; сохраните.</w:t>
      </w:r>
    </w:p>
    <w:p>
      <w:pPr>
        <w:keepNext/>
        <w:spacing w:before="0" w:after="80"/>
      </w:pPr>
      <w:r>
        <w:rPr>
          <w:b/>
        </w:rPr>
        <w:t xml:space="preserve">Показать  </w:t>
      </w:r>
      <w:r>
        <w:t>Рабочие: 2 индивидуальных документа + 1 общий протокол. ИТР: 1 индивидуальный документ + 1 общий протокол. Всего 3 человека, 2 общих протокола и 5 документов.</w:t>
      </w:r>
    </w:p>
    <w:p>
      <w:pPr>
        <w:keepNext w:val="0"/>
        <w:spacing w:before="0" w:after="80"/>
      </w:pPr>
      <w:r>
        <w:rPr>
          <w:b/>
        </w:rPr>
        <w:t xml:space="preserve">Сказать  </w:t>
      </w:r>
      <w:r>
        <w:t>Состав виден до выпуска. Общий протокол создаётся для каждого события, поэтому рабочие и ИТР остаются в своих группах. Для короткого показа откройте готовый смешанный пример.</w:t>
      </w:r>
    </w:p>
    <w:p>
      <w:pPr>
        <w:pStyle w:val="Heading1"/>
        <w:keepNext/>
        <w:pageBreakBefore/>
        <w:spacing w:before="0" w:after="140"/>
      </w:pPr>
      <w:r>
        <w:t>Кейс 3  Расчёт дат и ручное исключение</w:t>
      </w:r>
    </w:p>
    <w:p>
      <w:pPr>
        <w:pStyle w:val="Heading2"/>
        <w:keepNext/>
        <w:spacing w:before="0" w:after="120"/>
      </w:pPr>
      <w:r>
        <w:t>Шаг 1  Задайте график для удостоверения ПТМ</w:t>
      </w:r>
    </w:p>
    <w:p>
      <w:pPr>
        <w:keepNext/>
        <w:spacing w:before="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930050" cy="4608000"/>
            <wp:docPr id="8" name="Picture 8" descr="Правило периода обучения: восемь часов в день и календарь Казахстана на 2025–2026 год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alendar_rul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93005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b/>
        </w:rPr>
        <w:t xml:space="preserve">Действия  </w:t>
      </w:r>
      <w:r>
        <w:t>Создайте заявку с одним человеком и документом «ПТМ — удостоверение». Задайте дату 26.03.2026 и 16 часов. Откройте «Настроить даты и протоколы» → «Правило расчёта периода обучения» и заполните правило.</w:t>
      </w:r>
    </w:p>
    <w:p>
      <w:pPr>
        <w:keepNext/>
        <w:spacing w:before="0" w:after="80"/>
      </w:pPr>
      <w:r>
        <w:rPr>
          <w:b/>
        </w:rPr>
        <w:t xml:space="preserve">Показать  </w:t>
      </w:r>
      <w:r>
        <w:t>8 часов в день; часы без производственных; Казахстан, пятидневка, праздники и переносы 2025–2026; обучение до даты документа; протокол совпадает с датой документа. Укажите источник графика.</w:t>
      </w:r>
    </w:p>
    <w:p>
      <w:pPr>
        <w:keepNext w:val="0"/>
        <w:spacing w:before="0" w:after="80"/>
      </w:pPr>
      <w:r>
        <w:rPr>
          <w:b/>
        </w:rPr>
        <w:t xml:space="preserve">Сказать  </w:t>
      </w:r>
      <w:r>
        <w:t>Расчёт опирается на выбранный график и объём программы. В этом учебном примере показываем историческую дату внутри поддерживаемого календаря 2025–2026.</w:t>
      </w:r>
    </w:p>
    <w:p>
      <w:pPr>
        <w:pStyle w:val="Heading1"/>
        <w:keepNext/>
        <w:pageBreakBefore/>
        <w:spacing w:before="0" w:after="140"/>
      </w:pPr>
      <w:r>
        <w:t>Кейс 3  Расчёт дат и ручное исключение</w:t>
      </w:r>
    </w:p>
    <w:p>
      <w:pPr>
        <w:pStyle w:val="Heading2"/>
        <w:keepNext/>
        <w:spacing w:before="0" w:after="120"/>
      </w:pPr>
      <w:r>
        <w:t>Шаг 2  Примените правило и покажите объяснение результата</w:t>
      </w:r>
    </w:p>
    <w:p>
      <w:pPr>
        <w:keepNext/>
        <w:spacing w:before="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930050" cy="4608000"/>
            <wp:docPr id="9" name="Picture 9" descr="Рассчитанный период обучения 19–20 марта 2026 года и протокол от 26 март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alendar_result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93005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b/>
        </w:rPr>
        <w:t xml:space="preserve">Действия  </w:t>
      </w:r>
      <w:r>
        <w:t>Нажмите «Применить правило расчёта». У получателя откройте «Даты и детали» → «Период обучения, протокол и срок действия» → «Расчёт дат и пояснения».</w:t>
      </w:r>
    </w:p>
    <w:p>
      <w:pPr>
        <w:keepNext/>
        <w:spacing w:before="0" w:after="80"/>
      </w:pPr>
      <w:r>
        <w:rPr>
          <w:b/>
        </w:rPr>
        <w:t xml:space="preserve">Показать  </w:t>
      </w:r>
      <w:r>
        <w:t>При 16 часах и 8 часах в день: 2 учебных дня, период 19.03.2026–20.03.2026; документ и протокол — 26.03.2026. Под полями видно объяснение расчёта.</w:t>
      </w:r>
    </w:p>
    <w:p>
      <w:pPr>
        <w:keepNext w:val="0"/>
        <w:spacing w:before="0" w:after="80"/>
      </w:pPr>
      <w:r>
        <w:rPr>
          <w:b/>
        </w:rPr>
        <w:t xml:space="preserve">Сказать  </w:t>
      </w:r>
      <w:r>
        <w:t>Оператор видит и даты, и причину их получения. Выходные и праздники учитываются выбранным календарём, поэтому период можно предметно проверить.</w:t>
      </w:r>
    </w:p>
    <w:p>
      <w:pPr>
        <w:pStyle w:val="Heading1"/>
        <w:keepNext/>
        <w:pageBreakBefore/>
        <w:spacing w:before="0" w:after="140"/>
      </w:pPr>
      <w:r>
        <w:t>Кейс 3  Расчёт дат и ручное исключение</w:t>
      </w:r>
    </w:p>
    <w:p>
      <w:pPr>
        <w:pStyle w:val="Heading2"/>
        <w:keepNext/>
        <w:spacing w:before="0" w:after="120"/>
      </w:pPr>
      <w:r>
        <w:t>Шаг 3  Сохраните индивидуальное уточнение и покажите его отличие</w:t>
      </w:r>
    </w:p>
    <w:p>
      <w:pPr>
        <w:keepNext/>
        <w:spacing w:before="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930050" cy="4608000"/>
            <wp:docPr id="10" name="Picture 10" descr="Ручное начало обучения 18 марта помечено как исключение относительно расчётного 19 март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alendar_manual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93005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b/>
        </w:rPr>
        <w:t xml:space="preserve">Действия  </w:t>
      </w:r>
      <w:r>
        <w:t>Измените «Начало обучения» на 18.03.2026 → «Сохранить». Покажите отличие в «Расчёт дат и пояснения». Затем нажмите «Вернуть автоматический расчёт» у начала обучения → «Сохранить».</w:t>
      </w:r>
    </w:p>
    <w:p>
      <w:pPr>
        <w:keepNext/>
        <w:spacing w:before="0" w:after="80"/>
      </w:pPr>
      <w:r>
        <w:rPr>
          <w:b/>
        </w:rPr>
        <w:t xml:space="preserve">Показать  </w:t>
      </w:r>
      <w:r>
        <w:t>В документе стоит 18.03.2026; пояснение сохраняет расчётную дату 19.03.2026 и пометку «явно заданное исключение». Внизу — «Сохранено».</w:t>
      </w:r>
    </w:p>
    <w:p>
      <w:pPr>
        <w:keepNext w:val="0"/>
        <w:spacing w:before="0" w:after="80"/>
      </w:pPr>
      <w:r>
        <w:rPr>
          <w:b/>
        </w:rPr>
        <w:t xml:space="preserve">Сказать  </w:t>
      </w:r>
      <w:r>
        <w:t>Исключение не скрывается: рядом остаётся расчётный вариант. После демонстрации возвращаем начало на 19 марта явной командой и сохраняем заявку.</w:t>
      </w:r>
    </w:p>
    <w:p>
      <w:pPr>
        <w:pStyle w:val="Heading1"/>
        <w:keepNext/>
        <w:pageBreakBefore/>
        <w:spacing w:before="0" w:after="140"/>
      </w:pPr>
      <w:r>
        <w:t>Кейс 4  От проверки до полного комплекта файлов</w:t>
      </w:r>
    </w:p>
    <w:p>
      <w:pPr>
        <w:pStyle w:val="Heading2"/>
        <w:keepNext/>
        <w:spacing w:before="0" w:after="120"/>
      </w:pPr>
      <w:r>
        <w:t>Шаг 1  Начните с проверки обязательных сведений</w:t>
      </w:r>
    </w:p>
    <w:p>
      <w:pPr>
        <w:keepNext/>
        <w:spacing w:before="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930050" cy="4608000"/>
            <wp:docPr id="11" name="Picture 11" descr="Начните с проверки обязательных сведени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validation_errors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93005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b/>
        </w:rPr>
        <w:t xml:space="preserve">Действия  </w:t>
      </w:r>
      <w:r>
        <w:t>В черновике нажмите «Проверить». Если показаны ошибки, нажмите нужную строку ошибки и заполните поле. На встрече покажите этот учебный кадр, затем откройте свежий проверенный черновик по ссылке в конце.</w:t>
      </w:r>
    </w:p>
    <w:p>
      <w:pPr>
        <w:keepNext/>
        <w:spacing w:before="0" w:after="80"/>
      </w:pPr>
      <w:r>
        <w:rPr>
          <w:b/>
        </w:rPr>
        <w:t xml:space="preserve">Показать  </w:t>
      </w:r>
      <w:r>
        <w:t>Проверка обнаруживает незаполненные сведения заказчика, центра, работодателя и комиссии. Этот кадр снят до завершения подготовки реквизитов.</w:t>
      </w:r>
    </w:p>
    <w:p>
      <w:pPr>
        <w:keepNext w:val="0"/>
        <w:spacing w:before="0" w:after="80"/>
      </w:pPr>
      <w:r>
        <w:rPr>
          <w:b/>
        </w:rPr>
        <w:t xml:space="preserve">Сказать  </w:t>
      </w:r>
      <w:r>
        <w:t>До выпуска система показывает, чего не хватает. Оператор может перейти к проблемному полю и исправить данные до регистрации номеров.</w:t>
      </w:r>
    </w:p>
    <w:p>
      <w:pPr>
        <w:pStyle w:val="Heading1"/>
        <w:keepNext/>
        <w:pageBreakBefore/>
        <w:spacing w:before="0" w:after="140"/>
      </w:pPr>
      <w:r>
        <w:t>Кейс 4  От проверки до полного комплекта файлов</w:t>
      </w:r>
    </w:p>
    <w:p>
      <w:pPr>
        <w:pStyle w:val="Heading2"/>
        <w:keepNext/>
        <w:spacing w:before="0" w:after="120"/>
      </w:pPr>
      <w:r>
        <w:t>Шаг 2  Получите успешную проверку сохранённой редакции</w:t>
      </w:r>
    </w:p>
    <w:p>
      <w:pPr>
        <w:keepNext/>
        <w:spacing w:before="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930050" cy="4608000"/>
            <wp:docPr id="12" name="Picture 12" descr="Получите успешную проверку сохранённой редакци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eady_composition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93005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b/>
        </w:rPr>
        <w:t xml:space="preserve">Действия  </w:t>
      </w:r>
      <w:r>
        <w:t>Откройте «Показ сегодня — рабочие и ИТР» → «Проверить». После любых правок сначала нажмите «Сохранить», затем повторите проверку.</w:t>
      </w:r>
    </w:p>
    <w:p>
      <w:pPr>
        <w:keepNext/>
        <w:spacing w:before="0" w:after="80"/>
      </w:pPr>
      <w:r>
        <w:rPr>
          <w:b/>
        </w:rPr>
        <w:t xml:space="preserve">Показать  </w:t>
      </w:r>
      <w:r>
        <w:t>Зелёное сообщение «Данные прошли проверку»; редакция 1, документов 5. Внизу доступны «Предпросмотр» и «Оформить комплект».</w:t>
      </w:r>
    </w:p>
    <w:p>
      <w:pPr>
        <w:keepNext w:val="0"/>
        <w:spacing w:before="0" w:after="80"/>
      </w:pPr>
      <w:r>
        <w:rPr>
          <w:b/>
        </w:rPr>
        <w:t xml:space="preserve">Сказать  </w:t>
      </w:r>
      <w:r>
        <w:t>Это контрольная точка: сведения заполнены, состав согласован с данными. Теперь проверяем вид документа, прежде чем присвоить номера.</w:t>
      </w:r>
    </w:p>
    <w:p>
      <w:pPr>
        <w:pStyle w:val="Heading1"/>
        <w:keepNext/>
        <w:pageBreakBefore/>
        <w:spacing w:before="0" w:after="140"/>
      </w:pPr>
      <w:r>
        <w:t>Кейс 4  От проверки до полного комплекта файлов</w:t>
      </w:r>
    </w:p>
    <w:p>
      <w:pPr>
        <w:pStyle w:val="Heading2"/>
        <w:keepNext/>
        <w:spacing w:before="0" w:after="120"/>
      </w:pPr>
      <w:r>
        <w:t>Шаг 3  Откройте PDF и проверьте макет</w:t>
      </w:r>
    </w:p>
    <w:p>
      <w:pPr>
        <w:keepNext/>
        <w:spacing w:before="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930050" cy="4608000"/>
            <wp:docPr id="13" name="Picture 13" descr="Откройте PDF и проверьте маке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preview_pdf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93005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b/>
        </w:rPr>
        <w:t xml:space="preserve">Действия  </w:t>
      </w:r>
      <w:r>
        <w:t>Нажмите «Предпросмотр». В «Файлы и задания» дождитесь готовности PDF; при необходимости — «Обновить». У PDF сертификата ИТР нажмите «Посмотреть», затем закройте диалог.</w:t>
      </w:r>
    </w:p>
    <w:p>
      <w:pPr>
        <w:keepNext/>
        <w:spacing w:before="0" w:after="80"/>
      </w:pPr>
      <w:r>
        <w:rPr>
          <w:b/>
        </w:rPr>
        <w:t xml:space="preserve">Показать  </w:t>
      </w:r>
      <w:r>
        <w:t>Реальный PDF сертификата Серикова: ФИО, дата, сведения программы и комиссия. В макете есть отметка «ПРЕДПРОСМОТР» и демонстрационный водяной знак.</w:t>
      </w:r>
    </w:p>
    <w:p>
      <w:pPr>
        <w:keepNext w:val="0"/>
        <w:spacing w:before="0" w:after="80"/>
      </w:pPr>
      <w:r>
        <w:rPr>
          <w:b/>
        </w:rPr>
        <w:t xml:space="preserve">Сказать  </w:t>
      </w:r>
      <w:r>
        <w:t>Перед оформлением смотрим тот макет, который подготовила система. Проверяем ФИО, реквизиты, даты и размещение текста.</w:t>
      </w:r>
    </w:p>
    <w:p>
      <w:pPr>
        <w:pStyle w:val="Heading1"/>
        <w:keepNext/>
        <w:pageBreakBefore/>
        <w:spacing w:before="0" w:after="140"/>
      </w:pPr>
      <w:r>
        <w:t>Кейс 4  От проверки до полного комплекта файлов</w:t>
      </w:r>
    </w:p>
    <w:p>
      <w:pPr>
        <w:pStyle w:val="Heading2"/>
        <w:keepNext/>
        <w:spacing w:before="0" w:after="120"/>
      </w:pPr>
      <w:r>
        <w:t>Шаг 4  Подтвердите оформление пяти документов</w:t>
      </w:r>
    </w:p>
    <w:p>
      <w:pPr>
        <w:keepNext/>
        <w:spacing w:before="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930050" cy="4608000"/>
            <wp:docPr id="14" name="Picture 14" descr="Подтвердите оформление пяти документ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finalize_confirmation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93005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b/>
        </w:rPr>
        <w:t xml:space="preserve">Действия  </w:t>
      </w:r>
      <w:r>
        <w:t>Нажмите «Оформить комплект». Сверьте 3 получателей и 5 документов в диалоге → «Оформить». Дождитесь статуса «Оформлено».</w:t>
      </w:r>
    </w:p>
    <w:p>
      <w:pPr>
        <w:keepNext/>
        <w:spacing w:before="0" w:after="80"/>
      </w:pPr>
      <w:r>
        <w:rPr>
          <w:b/>
        </w:rPr>
        <w:t xml:space="preserve">Показать  </w:t>
      </w:r>
      <w:r>
        <w:t>Диалог объясняет регистрацию последней сохранённой редакции, назначение номеров и подготовку файлов. После регистрации уточнения выполняются через связанную заявку.</w:t>
      </w:r>
    </w:p>
    <w:p>
      <w:pPr>
        <w:keepNext w:val="0"/>
        <w:spacing w:before="0" w:after="80"/>
      </w:pPr>
      <w:r>
        <w:rPr>
          <w:b/>
        </w:rPr>
        <w:t xml:space="preserve">Сказать  </w:t>
      </w:r>
      <w:r>
        <w:t>Оформление — отдельное осознанное действие. Здесь фиксируем выпуск, получаем номера и запускаем подготовку окончательных файлов.</w:t>
      </w:r>
    </w:p>
    <w:p>
      <w:pPr>
        <w:pStyle w:val="Heading1"/>
        <w:keepNext/>
        <w:pageBreakBefore/>
        <w:spacing w:before="0" w:after="140"/>
      </w:pPr>
      <w:r>
        <w:t>Кейс 4  От проверки до полного комплекта файлов</w:t>
      </w:r>
    </w:p>
    <w:p>
      <w:pPr>
        <w:pStyle w:val="Heading2"/>
        <w:keepNext/>
        <w:spacing w:before="0" w:after="120"/>
      </w:pPr>
      <w:r>
        <w:t>Шаг 5  Дождитесь полного архива и покажите форматы</w:t>
      </w:r>
    </w:p>
    <w:p>
      <w:pPr>
        <w:keepNext/>
        <w:spacing w:before="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930050" cy="4608000"/>
            <wp:docPr id="15" name="Picture 15" descr="Дождитесь полного архива и покажите формат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final_files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93005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b/>
        </w:rPr>
        <w:t xml:space="preserve">Действия  </w:t>
      </w:r>
      <w:r>
        <w:t>В «Файлы и задания» нажмите «Обновить» и дождитесь готовности всех заданий. Покажите PDF, DOCX и «Реестр XLSX»; нажмите «Скачать ZIP». Проверьте, что кнопка не содержит слова «неполный».</w:t>
      </w:r>
    </w:p>
    <w:p>
      <w:pPr>
        <w:keepNext/>
        <w:spacing w:before="0" w:after="80"/>
      </w:pPr>
      <w:r>
        <w:rPr>
          <w:b/>
        </w:rPr>
        <w:t xml:space="preserve">Показать  </w:t>
      </w:r>
      <w:r>
        <w:t>Кнопки «Реестр XLSX», «Скачать ZIP» и счётчик «Готово 22 из 22»: 10 заданий предпросмотра и 12 окончательного комплекта. Первые карточки относятся к предпросмотру; ниже — итоговые файлы.</w:t>
      </w:r>
    </w:p>
    <w:p>
      <w:pPr>
        <w:keepNext w:val="0"/>
        <w:spacing w:before="0" w:after="80"/>
      </w:pPr>
      <w:r>
        <w:rPr>
          <w:b/>
        </w:rPr>
        <w:t xml:space="preserve">Сказать  </w:t>
      </w:r>
      <w:r>
        <w:t>Результат — пять документов в PDF и DOCX, реестр и единый архив для передачи. Число заданий отражает форматы и предпросмотр; это не число документов.</w:t>
      </w:r>
    </w:p>
    <w:p>
      <w:pPr>
        <w:pStyle w:val="Heading1"/>
        <w:keepNext/>
        <w:pageBreakBefore/>
        <w:spacing w:before="0" w:after="140"/>
      </w:pPr>
      <w:r>
        <w:t>Кейс 5  Исправление с сохранением истории</w:t>
      </w:r>
    </w:p>
    <w:p>
      <w:pPr>
        <w:pStyle w:val="Heading2"/>
        <w:keepNext/>
        <w:spacing w:before="0" w:after="120"/>
      </w:pPr>
      <w:r>
        <w:t>Шаг 1  Зафиксируйте причину уточнения</w:t>
      </w:r>
    </w:p>
    <w:p>
      <w:pPr>
        <w:keepNext/>
        <w:spacing w:before="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930050" cy="4608000"/>
            <wp:docPr id="16" name="Picture 16" descr="Зафиксируйте причину уточне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correction_reason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93005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b/>
        </w:rPr>
        <w:t xml:space="preserve">Действия  </w:t>
      </w:r>
      <w:r>
        <w:t>В оформленной заявке нажмите «Создать исправление». Введите «Учебная демонстрация: уточнение должности Иванова по обращению заказчика» → «Создать исправление».</w:t>
      </w:r>
    </w:p>
    <w:p>
      <w:pPr>
        <w:keepNext/>
        <w:spacing w:before="0" w:after="80"/>
      </w:pPr>
      <w:r>
        <w:rPr>
          <w:b/>
        </w:rPr>
        <w:t xml:space="preserve">Показать  </w:t>
      </w:r>
      <w:r>
        <w:t>Диалог создания связанного черновика; зарегистрированная редакция, номера и оригинальные файлы остаются в истории.</w:t>
      </w:r>
    </w:p>
    <w:p>
      <w:pPr>
        <w:keepNext w:val="0"/>
        <w:spacing w:before="0" w:after="80"/>
      </w:pPr>
      <w:r>
        <w:rPr>
          <w:b/>
        </w:rPr>
        <w:t xml:space="preserve">Сказать  </w:t>
      </w:r>
      <w:r>
        <w:t>Заказчик попросил уточнить должность. Фиксируем основание и создаём связанный черновик для нового выпуска.</w:t>
      </w:r>
    </w:p>
    <w:p>
      <w:pPr>
        <w:pStyle w:val="Heading1"/>
        <w:keepNext/>
        <w:pageBreakBefore/>
        <w:spacing w:before="0" w:after="140"/>
      </w:pPr>
      <w:r>
        <w:t>Кейс 5  Исправление с сохранением истории</w:t>
      </w:r>
    </w:p>
    <w:p>
      <w:pPr>
        <w:pStyle w:val="Heading2"/>
        <w:keepNext/>
        <w:spacing w:before="0" w:after="120"/>
      </w:pPr>
      <w:r>
        <w:t>Шаг 2  Измените должность в связанном черновике</w:t>
      </w:r>
    </w:p>
    <w:p>
      <w:pPr>
        <w:keepNext/>
        <w:spacing w:before="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930050" cy="4608000"/>
            <wp:docPr id="17" name="Picture 17" descr="Измените должность в связанном черновик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correction_edit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93005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b/>
        </w:rPr>
        <w:t xml:space="preserve">Действия  </w:t>
      </w:r>
      <w:r>
        <w:t>В новой заявке «Исправление: …» у Иванова замените «Электромонтёр» на «Старший электромонтёр». Нажмите «Сохранить» → «Проверить» → «Предпросмотр» и проверьте новый PDF.</w:t>
      </w:r>
    </w:p>
    <w:p>
      <w:pPr>
        <w:keepNext/>
        <w:spacing w:before="0" w:after="80"/>
      </w:pPr>
      <w:r>
        <w:rPr>
          <w:b/>
        </w:rPr>
        <w:t xml:space="preserve">Показать  </w:t>
      </w:r>
      <w:r>
        <w:t>У первой строки видна новая должность «Старший электромонтёр» и сохранённая редакция. Остальные люди и состав комплекта перенесены в черновик.</w:t>
      </w:r>
    </w:p>
    <w:p>
      <w:pPr>
        <w:keepNext w:val="0"/>
        <w:spacing w:before="0" w:after="80"/>
      </w:pPr>
      <w:r>
        <w:rPr>
          <w:b/>
        </w:rPr>
        <w:t xml:space="preserve">Сказать  </w:t>
      </w:r>
      <w:r>
        <w:t>Меняем нужное поле, сохраняя данные заявки. Новый вариант снова проходит проверку и просмотр перед оформлением.</w:t>
      </w:r>
    </w:p>
    <w:p>
      <w:pPr>
        <w:pStyle w:val="Heading1"/>
        <w:keepNext/>
        <w:pageBreakBefore/>
        <w:spacing w:before="0" w:after="140"/>
      </w:pPr>
      <w:r>
        <w:t>Кейс 5  Исправление с сохранением истории</w:t>
      </w:r>
    </w:p>
    <w:p>
      <w:pPr>
        <w:pStyle w:val="Heading2"/>
        <w:keepNext/>
        <w:spacing w:before="0" w:after="120"/>
      </w:pPr>
      <w:r>
        <w:t>Шаг 3  Оформите исправление и раскройте его историю</w:t>
      </w:r>
    </w:p>
    <w:p>
      <w:pPr>
        <w:keepNext/>
        <w:spacing w:before="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930050" cy="4608000"/>
            <wp:docPr id="18" name="Picture 18" descr="Оформите исправление и раскройте его истор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correction_history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93005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b/>
        </w:rPr>
        <w:t xml:space="preserve">Действия  </w:t>
      </w:r>
      <w:r>
        <w:t>Нажмите «Оформить комплект» → «Оформить». Дождитесь готовых файлов. Раскройте «Зарегистрированная редакция …» и покажите причину, новые номера и «Открыть исходный выпуск».</w:t>
      </w:r>
    </w:p>
    <w:p>
      <w:pPr>
        <w:keepNext/>
        <w:spacing w:before="0" w:after="80"/>
      </w:pPr>
      <w:r>
        <w:rPr>
          <w:b/>
        </w:rPr>
        <w:t xml:space="preserve">Показать  </w:t>
      </w:r>
      <w:r>
        <w:t>Исправление зарегистрировано. Видны причина и номера нового выпуска, включая BIOT-CARD-00003/00004 и BIOT-CERTIFICATE-00002; есть ссылка на исходный выпуск.</w:t>
      </w:r>
    </w:p>
    <w:p>
      <w:pPr>
        <w:keepNext w:val="0"/>
        <w:spacing w:before="0" w:after="80"/>
      </w:pPr>
      <w:r>
        <w:rPr>
          <w:b/>
        </w:rPr>
        <w:t xml:space="preserve">Сказать  </w:t>
      </w:r>
      <w:r>
        <w:t>Уточнение стало отдельным выпуском с собственными номерами. По ссылке можно вернуться к исходному состоянию и объяснить причину замены.</w:t>
      </w:r>
    </w:p>
    <w:p>
      <w:pPr>
        <w:pStyle w:val="Heading1"/>
        <w:keepNext/>
        <w:pageBreakBefore/>
        <w:spacing w:before="0" w:after="140"/>
      </w:pPr>
      <w:r>
        <w:t>Кейс 5  Исправление с сохранением истории</w:t>
      </w:r>
    </w:p>
    <w:p>
      <w:pPr>
        <w:pStyle w:val="Heading2"/>
        <w:keepNext/>
        <w:spacing w:before="0" w:after="120"/>
      </w:pPr>
      <w:r>
        <w:t>Шаг 4  Откройте оригинал и покажите связь двух выпусков</w:t>
      </w:r>
    </w:p>
    <w:p>
      <w:pPr>
        <w:keepNext/>
        <w:spacing w:before="0" w:after="140"/>
        <w:jc w:val="center"/>
      </w:pPr>
      <w:r>
        <w:drawing>
          <wp:inline xmlns:a="http://schemas.openxmlformats.org/drawingml/2006/main" xmlns:pic="http://schemas.openxmlformats.org/drawingml/2006/picture">
            <wp:extent cx="8930050" cy="4608000"/>
            <wp:docPr id="19" name="Picture 19" descr="Откройте оригинал и покажите связь двух выпуск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original_preserved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930050" cy="4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80"/>
      </w:pPr>
      <w:r>
        <w:rPr>
          <w:b/>
        </w:rPr>
        <w:t xml:space="preserve">Действия  </w:t>
      </w:r>
      <w:r>
        <w:t>Нажмите «Открыть исходный выпуск». Раскройте его зарегистрированную редакцию. Покажите исходные номера, статус замены, причину и ссылку «Открыть исправленный выпуск».</w:t>
      </w:r>
    </w:p>
    <w:p>
      <w:pPr>
        <w:keepNext/>
        <w:spacing w:before="0" w:after="80"/>
      </w:pPr>
      <w:r>
        <w:rPr>
          <w:b/>
        </w:rPr>
        <w:t xml:space="preserve">Показать  </w:t>
      </w:r>
      <w:r>
        <w:t>Оригинальные BIOT-CARD-00001/00002 и BIOT-CERTIFICATE-00001 сохранены. Статус «Заменён исправленным выпуском» связан с новой заявкой; исходные файлы доступны.</w:t>
      </w:r>
    </w:p>
    <w:p>
      <w:pPr>
        <w:keepNext w:val="0"/>
        <w:spacing w:before="0" w:after="80"/>
      </w:pPr>
      <w:r>
        <w:rPr>
          <w:b/>
        </w:rPr>
        <w:t xml:space="preserve">Сказать  </w:t>
      </w:r>
      <w:r>
        <w:t>История отвечает на три вопроса: что было оформлено сначала, почему изменили данные и какой выпуск заменил первоначальный. Оригинал можно открыть и сравнить.</w:t>
      </w:r>
    </w:p>
    <w:p>
      <w:pPr>
        <w:pStyle w:val="Heading1"/>
        <w:keepNext/>
        <w:pageBreakBefore/>
        <w:spacing w:before="0" w:after="140"/>
      </w:pPr>
      <w:r>
        <w:t>Ссылки для показа и короткая репетиция</w:t>
      </w:r>
    </w:p>
    <w:p>
      <w:pPr>
        <w:keepNext w:val="0"/>
        <w:spacing w:before="0" w:after="260"/>
      </w:pPr>
      <w:r>
        <w:t>Закройте презентацию на связи оригинала и исправления. Реплика: «Список заказчика становится проверенным комплектом с датами, номерами и файлами. Если данные уточняются, новый выпуск сохраняет связь с первоначальным». Все показанные ФИО, реквизиты и результаты учебные; для реальной работы центр использует свои утверждённые сведения и формы.</w:t>
      </w:r>
    </w:p>
    <w:p>
      <w:pPr>
        <w:pStyle w:val="Heading2"/>
        <w:keepNext w:val="0"/>
        <w:spacing w:before="0" w:after="160"/>
      </w:pPr>
      <w:r>
        <w:t>Репетиция перед встречей</w:t>
      </w:r>
    </w:p>
    <w:p>
      <w:pPr>
        <w:keepNext w:val="0"/>
        <w:spacing w:before="0" w:after="140"/>
        <w:ind w:left="142" w:hanging="142"/>
      </w:pPr>
      <w:r>
        <w:t>• Откройте четыре ссылки ниже в отдельных вкладках. Вход должен быть выполнен в тестовый центр, локальное приложение и обработка документов должны работать.</w:t>
      </w:r>
    </w:p>
    <w:p>
      <w:pPr>
        <w:keepNext w:val="0"/>
        <w:spacing w:before="0" w:after="140"/>
        <w:ind w:left="142" w:hanging="142"/>
      </w:pPr>
      <w:r>
        <w:t>• Для импорта скопируйте Demo_250.tsv. Для короткого варианта откройте сохранённую заявку и найдите DEMO-PRES-250. Массовую генерацию 250 файлов на встрече не запускайте.</w:t>
      </w:r>
    </w:p>
    <w:p>
      <w:pPr>
        <w:keepNext w:val="0"/>
        <w:spacing w:before="0" w:after="140"/>
        <w:ind w:left="142" w:hanging="142"/>
      </w:pPr>
      <w:r>
        <w:t>• Для кейсов 2 и 4 используйте «Показ сегодня — рабочие и ИТР»: это свежий проверенный черновик на 3 человека, 5 документов и 2 протокола. Номера нового прогона могут отличаться от скриншотов.</w:t>
      </w:r>
    </w:p>
    <w:p>
      <w:pPr>
        <w:keepNext w:val="0"/>
        <w:spacing w:before="0" w:after="140"/>
        <w:ind w:left="142" w:hanging="142"/>
      </w:pPr>
      <w:r>
        <w:t>• Для календаря исходное начало — 19.03.2026. Покажите исключение 18.03.2026, затем нажмите возврат автоматического расчёта и сохраните.</w:t>
      </w:r>
    </w:p>
    <w:p>
      <w:pPr>
        <w:keepNext w:val="0"/>
        <w:spacing w:before="0" w:after="140"/>
        <w:ind w:left="142" w:hanging="142"/>
      </w:pPr>
      <w:r>
        <w:t>• Для кейса 5 создайте исправление из выпуска на встрече либо покажите завершённый пример ниже. Если генерация ещё идёт, переходите к сохранённым результатам из документа.</w:t>
      </w:r>
    </w:p>
    <w:p>
      <w:pPr>
        <w:pStyle w:val="Heading2"/>
        <w:keepNext w:val="0"/>
        <w:spacing w:before="180" w:after="140"/>
      </w:pPr>
      <w:r>
        <w:t>Контакты</w:t>
      </w:r>
    </w:p>
    <w:p>
      <w:pPr>
        <w:keepNext w:val="0"/>
        <w:spacing w:before="0" w:after="100"/>
      </w:pPr>
      <w:r>
        <w:rPr>
          <w:b/>
        </w:rPr>
        <w:t xml:space="preserve">Рабочее место ведущего  </w:t>
      </w:r>
      <w:hyperlink r:id="rId10">
        <w:r>
          <w:rPr>
            <w:rFonts w:ascii="Arial" w:hAnsi="Arial"/>
            <w:color w:val="000000"/>
            <w:u w:val="single"/>
          </w:rPr>
          <w:t>Локальная DEMO на этом компьютере</w:t>
        </w:r>
      </w:hyperlink>
    </w:p>
    <w:p>
      <w:pPr>
        <w:pStyle w:val="Heading2"/>
        <w:keepNext w:val="0"/>
        <w:spacing w:before="180" w:after="140"/>
      </w:pPr>
      <w:r>
        <w:t>Полезные ссылки</w:t>
      </w:r>
    </w:p>
    <w:p>
      <w:pPr>
        <w:keepNext w:val="0"/>
        <w:spacing w:before="0" w:after="100"/>
      </w:pPr>
      <w:hyperlink r:id="rId30">
        <w:r>
          <w:rPr>
            <w:rFonts w:ascii="Arial" w:hAnsi="Arial"/>
            <w:color w:val="000000"/>
            <w:u w:val="single"/>
          </w:rPr>
          <w:t>Кейс 1 — сохранённые 250 сотрудников</w:t>
        </w:r>
      </w:hyperlink>
    </w:p>
    <w:p>
      <w:pPr>
        <w:keepNext w:val="0"/>
        <w:spacing w:before="0" w:after="100"/>
      </w:pPr>
      <w:hyperlink r:id="rId31">
        <w:r>
          <w:rPr>
            <w:rFonts w:ascii="Arial" w:hAnsi="Arial"/>
            <w:color w:val="000000"/>
            <w:u w:val="single"/>
          </w:rPr>
          <w:t>Кейсы 2 и 4 — свежий черновик «Показ сегодня — рабочие и ИТР»</w:t>
        </w:r>
      </w:hyperlink>
    </w:p>
    <w:p>
      <w:pPr>
        <w:keepNext w:val="0"/>
        <w:spacing w:before="0" w:after="100"/>
      </w:pPr>
      <w:hyperlink r:id="rId32">
        <w:r>
          <w:rPr>
            <w:rFonts w:ascii="Arial" w:hAnsi="Arial"/>
            <w:color w:val="000000"/>
            <w:u w:val="single"/>
          </w:rPr>
          <w:t>Кейс 3 — сохранённый расчёт учебных дат</w:t>
        </w:r>
      </w:hyperlink>
    </w:p>
    <w:p>
      <w:pPr>
        <w:keepNext w:val="0"/>
        <w:spacing w:before="0" w:after="100"/>
      </w:pPr>
      <w:hyperlink r:id="rId33">
        <w:r>
          <w:rPr>
            <w:rFonts w:ascii="Arial" w:hAnsi="Arial"/>
            <w:color w:val="000000"/>
            <w:u w:val="single"/>
          </w:rPr>
          <w:t>Кейс 5 — завершённое исправление со ссылкой на оригинал</w:t>
        </w:r>
      </w:hyperlink>
    </w:p>
    <w:sectPr w:rsidR="00FC693F" w:rsidRPr="0006063C" w:rsidSect="00034616">
      <w:footerReference w:type="default" r:id="rId9"/>
      <w:pgSz w:w="16838" w:h="11906" w:orient="landscape"/>
      <w:pgMar w:top="850" w:right="850" w:bottom="850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00" w:line="240" w:lineRule="auto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100" w:line="240" w:lineRule="auto" w:before="0"/>
    </w:pPr>
    <w:rPr>
      <w:rFonts w:ascii="Arial" w:hAnsi="Arial" w:eastAsia="Arial" w:cs="Arial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100" w:line="240" w:lineRule="auto" w:before="0"/>
    </w:pPr>
    <w:rPr>
      <w:rFonts w:ascii="Arial" w:hAnsi="Arial" w:eastAsia="Arial" w:cs="Arial"/>
      <w:color w:val="00000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00" w:line="240" w:lineRule="auto"/>
      <w:outlineLvl w:val="0"/>
    </w:pPr>
    <w:rPr>
      <w:rFonts w:ascii="Arial" w:hAnsi="Arial" w:eastAsia="Arial" w:cs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100" w:line="240" w:lineRule="auto"/>
      <w:outlineLvl w:val="1"/>
    </w:pPr>
    <w:rPr>
      <w:rFonts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0" w:after="100" w:line="240" w:lineRule="auto"/>
      <w:outlineLvl w:val="2"/>
    </w:pPr>
    <w:rPr>
      <w:rFonts w:ascii="Arial" w:hAnsi="Arial" w:eastAsia="Arial" w:cs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0" w:after="100" w:line="240" w:lineRule="auto"/>
      <w:outlineLvl w:val="3"/>
    </w:pPr>
    <w:rPr>
      <w:rFonts w:ascii="Arial" w:hAnsi="Arial" w:eastAsia="Arial" w:cs="Arial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0" w:after="100" w:line="240" w:lineRule="auto"/>
      <w:outlineLvl w:val="4"/>
    </w:pPr>
    <w:rPr>
      <w:rFonts w:ascii="Arial" w:hAnsi="Arial" w:eastAsia="Arial" w:cs="Arial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before="0" w:after="100" w:line="240" w:lineRule="auto"/>
      <w:outlineLvl w:val="5"/>
    </w:pPr>
    <w:rPr>
      <w:rFonts w:ascii="Arial" w:hAnsi="Arial" w:eastAsia="Arial" w:cs="Arial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widowControl/>
      <w:spacing w:before="0" w:after="100" w:line="240" w:lineRule="auto"/>
      <w:outlineLvl w:val="6"/>
    </w:pPr>
    <w:rPr>
      <w:rFonts w:ascii="Arial" w:hAnsi="Arial" w:eastAsia="Arial" w:cs="Arial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widowControl/>
      <w:spacing w:before="0" w:after="100" w:line="240" w:lineRule="auto"/>
      <w:outlineLvl w:val="7"/>
    </w:pPr>
    <w:rPr>
      <w:rFonts w:ascii="Arial" w:hAnsi="Arial" w:eastAsia="Arial" w:cs="Arial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widowControl/>
      <w:spacing w:before="0" w:after="100" w:line="240" w:lineRule="auto"/>
      <w:outlineLvl w:val="8"/>
    </w:pPr>
    <w:rPr>
      <w:rFonts w:ascii="Arial" w:hAnsi="Arial" w:eastAsia="Arial" w:cs="Arial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widowControl/>
      <w:spacing w:after="100" w:line="240" w:lineRule="auto" w:before="0"/>
    </w:pPr>
    <w:rPr>
      <w:rFonts w:ascii="Arial" w:hAnsi="Arial" w:eastAsia="Arial" w:cs="Arial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0" w:lineRule="auto" w:before="0"/>
      <w:contextualSpacing/>
    </w:pPr>
    <w:rPr>
      <w:rFonts w:ascii="Arial" w:hAnsi="Arial" w:eastAsia="Arial" w:cs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100" w:line="240" w:lineRule="auto"/>
    </w:pPr>
    <w:rPr>
      <w:rFonts w:ascii="Arial" w:hAnsi="Arial" w:eastAsia="Arial" w:cs="Arial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widowControl/>
      <w:spacing w:before="0" w:after="100" w:line="240" w:lineRule="auto"/>
      <w:ind w:left="720"/>
      <w:contextualSpacing/>
    </w:pPr>
    <w:rPr>
      <w:rFonts w:ascii="Arial" w:hAnsi="Arial" w:eastAsia="Arial" w:cs="Arial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00" w:before="0" w:line="240" w:lineRule="auto"/>
    </w:pPr>
    <w:rPr>
      <w:rFonts w:ascii="Arial" w:hAnsi="Arial" w:eastAsia="Arial" w:cs="Arial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widowControl/>
      <w:spacing w:after="100" w:line="240" w:lineRule="auto" w:before="0"/>
    </w:pPr>
    <w:rPr>
      <w:rFonts w:ascii="Arial" w:hAnsi="Arial" w:eastAsia="Arial" w:cs="Arial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widowControl/>
      <w:spacing w:after="100" w:before="0" w:line="240" w:lineRule="auto"/>
    </w:pPr>
    <w:rPr>
      <w:rFonts w:ascii="Arial" w:hAnsi="Arial" w:eastAsia="Arial" w:cs="Arial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widowControl/>
      <w:spacing w:before="0" w:after="100" w:line="240" w:lineRule="auto"/>
      <w:ind w:left="360" w:hanging="360"/>
      <w:contextualSpacing/>
    </w:pPr>
    <w:rPr>
      <w:rFonts w:ascii="Arial" w:hAnsi="Arial" w:eastAsia="Arial" w:cs="Arial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widowControl/>
      <w:spacing w:before="0" w:after="100" w:line="240" w:lineRule="auto"/>
      <w:ind w:left="720" w:hanging="360"/>
      <w:contextualSpacing/>
    </w:pPr>
    <w:rPr>
      <w:rFonts w:ascii="Arial" w:hAnsi="Arial" w:eastAsia="Arial" w:cs="Arial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widowControl/>
      <w:spacing w:before="0" w:after="100" w:line="240" w:lineRule="auto"/>
      <w:ind w:left="1080" w:hanging="360"/>
      <w:contextualSpacing/>
    </w:pPr>
    <w:rPr>
      <w:rFonts w:ascii="Arial" w:hAnsi="Arial" w:eastAsia="Arial" w:cs="Arial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100" w:line="240" w:lineRule="auto"/>
      <w:contextualSpacing/>
    </w:pPr>
    <w:rPr>
      <w:rFonts w:ascii="Arial" w:hAnsi="Arial" w:eastAsia="Arial" w:cs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widowControl/>
      <w:numPr>
        <w:numId w:val="2"/>
      </w:numPr>
      <w:spacing w:before="0" w:after="100" w:line="240" w:lineRule="auto"/>
      <w:contextualSpacing/>
    </w:pPr>
    <w:rPr>
      <w:rFonts w:ascii="Arial" w:hAnsi="Arial" w:eastAsia="Arial" w:cs="Arial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widowControl/>
      <w:numPr>
        <w:numId w:val="3"/>
      </w:numPr>
      <w:spacing w:before="0" w:after="100" w:line="240" w:lineRule="auto"/>
      <w:contextualSpacing/>
    </w:pPr>
    <w:rPr>
      <w:rFonts w:ascii="Arial" w:hAnsi="Arial" w:eastAsia="Arial" w:cs="Arial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100" w:line="240" w:lineRule="auto"/>
      <w:contextualSpacing/>
    </w:pPr>
    <w:rPr>
      <w:rFonts w:ascii="Arial" w:hAnsi="Arial" w:eastAsia="Arial" w:cs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widowControl/>
      <w:numPr>
        <w:numId w:val="6"/>
      </w:numPr>
      <w:spacing w:before="0" w:after="100" w:line="240" w:lineRule="auto"/>
      <w:contextualSpacing/>
    </w:pPr>
    <w:rPr>
      <w:rFonts w:ascii="Arial" w:hAnsi="Arial" w:eastAsia="Arial" w:cs="Arial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widowControl/>
      <w:numPr>
        <w:numId w:val="7"/>
      </w:numPr>
      <w:spacing w:before="0" w:after="100" w:line="240" w:lineRule="auto"/>
      <w:contextualSpacing/>
    </w:pPr>
    <w:rPr>
      <w:rFonts w:ascii="Arial" w:hAnsi="Arial" w:eastAsia="Arial" w:cs="Arial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widowControl/>
      <w:spacing w:after="100" w:before="0" w:line="240" w:lineRule="auto"/>
      <w:ind w:left="360"/>
      <w:contextualSpacing/>
    </w:pPr>
    <w:rPr>
      <w:rFonts w:ascii="Arial" w:hAnsi="Arial" w:eastAsia="Arial" w:cs="Arial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widowControl/>
      <w:spacing w:after="100" w:before="0" w:line="240" w:lineRule="auto"/>
      <w:ind w:left="720"/>
      <w:contextualSpacing/>
    </w:pPr>
    <w:rPr>
      <w:rFonts w:ascii="Arial" w:hAnsi="Arial" w:eastAsia="Arial" w:cs="Arial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widowControl/>
      <w:spacing w:after="100" w:before="0" w:line="240" w:lineRule="auto"/>
      <w:ind w:left="1080"/>
      <w:contextualSpacing/>
    </w:pPr>
    <w:rPr>
      <w:rFonts w:ascii="Arial" w:hAnsi="Arial" w:eastAsia="Arial" w:cs="Arial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0" w:after="100" w:line="240" w:lineRule="auto"/>
    </w:pPr>
    <w:rPr>
      <w:rFonts w:ascii="Arial" w:hAnsi="Arial" w:eastAsia="Arial" w:cs="Arial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widowControl/>
      <w:spacing w:before="0" w:after="100" w:line="240" w:lineRule="auto"/>
    </w:pPr>
    <w:rPr>
      <w:rFonts w:ascii="Arial" w:hAnsi="Arial" w:eastAsia="Arial" w:cs="Arial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 w:before="0" w:after="100"/>
    </w:pPr>
    <w:rPr>
      <w:rFonts w:ascii="Arial" w:hAnsi="Arial" w:eastAsia="Arial" w:cs="Arial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widowControl/>
      <w:spacing w:before="0" w:after="100" w:line="240" w:lineRule="auto"/>
      <w:ind w:left="936" w:right="936"/>
    </w:pPr>
    <w:rPr>
      <w:rFonts w:ascii="Arial" w:hAnsi="Arial" w:eastAsia="Arial" w:cs="Arial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widowControl/>
      <w:spacing w:before="0" w:after="100" w:line="240" w:lineRule="auto"/>
      <w:outlineLvl w:val="9"/>
    </w:pPr>
    <w:rPr>
      <w:rFonts w:ascii="Arial" w:hAnsi="Arial" w:eastAsia="Arial" w:cs="Arial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://localhost:3120" TargetMode="Externa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hyperlink" Target="http://localhost:3120/requests/3294edfe-05df-42db-abc0-f57458c649dd/edit" TargetMode="External"/><Relationship Id="rId31" Type="http://schemas.openxmlformats.org/officeDocument/2006/relationships/hyperlink" Target="http://localhost:3120/requests/aba69bd8-2837-49e6-8ff8-75fe5d258948/edit" TargetMode="External"/><Relationship Id="rId32" Type="http://schemas.openxmlformats.org/officeDocument/2006/relationships/hyperlink" Target="http://localhost:3120/requests/8c7280d8-6f03-4529-96ed-18de3f9cbf31/edit" TargetMode="External"/><Relationship Id="rId33" Type="http://schemas.openxmlformats.org/officeDocument/2006/relationships/hyperlink" Target="http://localhost:3120/requests/7f0bf4e7-ccde-43cb-b3a6-6c0d1cc7e132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Пять сценариев работы учебного центра в DEMO</dc:title>
  <dc:subject>Сценарий презентации на 16–20 минут с реальными скриншотами и результатами</dc:subject>
  <dc:creator>Ведущий демонстрации учебного центра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