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:rsidR="001359E7" w:rsidRDefault="001436FD">
      <w:pPr>
        <w:spacing w:before="0" w:after="0" w:line="680" w:lineRule="exact"/>
      </w:pP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spacing w:before="0" w:after="0" w:line="680" w:lineRule="exact"/>
                              <w:jc w:val="center"/>
                            </w:pP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66"/>
                                <w:szCs w:val="66"/>
                              </w:rPr>
                              <w:t>Получатель 2 / Қабылдаушы 2</w:t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spacing w:before="0" w:after="0" w:line="680" w:lineRule="exact"/>
                        <w:jc w:val="center"/>
                      </w:pP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66"/>
                          <w:szCs w:val="66"/>
                        </w:rPr>
                        <w:t>Получатель 2 / Қабылдаушы 2</w:t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ТЕСТ-00001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ТЕСТ-00001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1798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1798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92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66"/>
          <w:szCs w:val="66"/>
        </w:rPr>
      </w:r>
    </w:p>
    <w:sectPr w:rsidR="001359E7">
      <w:headerReference w:type="even" r:id="rIdDemoHeader"/>
      <w:headerReference w:type="first" r:id="rIdDemoHeader"/>
      <w:headerReference w:type="default" r:id="rIdDemoHeader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